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BEAE" w14:textId="3152A55B" w:rsidR="00BE6145" w:rsidRDefault="00730B90" w:rsidP="00DF08A6">
      <w:r w:rsidRPr="00DF08A6">
        <w:rPr>
          <w:noProof/>
        </w:rPr>
        <w:drawing>
          <wp:inline distT="0" distB="0" distL="0" distR="0" wp14:anchorId="2F7212DD" wp14:editId="464A7430">
            <wp:extent cx="1718830" cy="9345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8830" cy="934593"/>
                    </a:xfrm>
                    <a:prstGeom prst="rect">
                      <a:avLst/>
                    </a:prstGeom>
                  </pic:spPr>
                </pic:pic>
              </a:graphicData>
            </a:graphic>
          </wp:inline>
        </w:drawing>
      </w:r>
    </w:p>
    <w:p w14:paraId="4A9E5C70" w14:textId="77777777" w:rsidR="00DF08A6" w:rsidRPr="00DF08A6" w:rsidRDefault="00DF08A6" w:rsidP="00DF08A6"/>
    <w:p w14:paraId="5E2D82AD" w14:textId="77777777" w:rsidR="00FD4532" w:rsidRDefault="00FD4532" w:rsidP="00DF08A6">
      <w:pPr>
        <w:pStyle w:val="Title"/>
        <w:jc w:val="center"/>
        <w:rPr>
          <w:sz w:val="44"/>
          <w:szCs w:val="44"/>
        </w:rPr>
      </w:pPr>
    </w:p>
    <w:p w14:paraId="1AD5D528" w14:textId="432B6876" w:rsidR="00BE6145" w:rsidRPr="00462A8A" w:rsidRDefault="00730B90" w:rsidP="00FD4532">
      <w:pPr>
        <w:pStyle w:val="Title"/>
        <w:jc w:val="center"/>
        <w:rPr>
          <w:sz w:val="44"/>
          <w:szCs w:val="44"/>
        </w:rPr>
      </w:pPr>
      <w:r w:rsidRPr="00462A8A">
        <w:rPr>
          <w:sz w:val="44"/>
          <w:szCs w:val="44"/>
        </w:rPr>
        <w:t xml:space="preserve">College of Medicine and Public Health </w:t>
      </w:r>
    </w:p>
    <w:p w14:paraId="46C87E65" w14:textId="77777777" w:rsidR="00FD4532" w:rsidRDefault="00FD4532" w:rsidP="00DF08A6">
      <w:pPr>
        <w:pStyle w:val="Title"/>
        <w:jc w:val="center"/>
        <w:rPr>
          <w:sz w:val="44"/>
          <w:szCs w:val="44"/>
        </w:rPr>
      </w:pPr>
    </w:p>
    <w:p w14:paraId="1434F0B6" w14:textId="76CFBF7B" w:rsidR="00BE6145" w:rsidRPr="00462A8A" w:rsidRDefault="00BC2159" w:rsidP="00DF08A6">
      <w:pPr>
        <w:pStyle w:val="Title"/>
        <w:jc w:val="center"/>
        <w:rPr>
          <w:sz w:val="44"/>
          <w:szCs w:val="44"/>
        </w:rPr>
      </w:pPr>
      <w:r>
        <w:rPr>
          <w:sz w:val="44"/>
          <w:szCs w:val="44"/>
        </w:rPr>
        <w:t xml:space="preserve">2021 </w:t>
      </w:r>
      <w:r w:rsidR="00C15428" w:rsidRPr="00462A8A">
        <w:rPr>
          <w:sz w:val="44"/>
          <w:szCs w:val="44"/>
        </w:rPr>
        <w:t>A</w:t>
      </w:r>
      <w:r w:rsidR="00730B90" w:rsidRPr="00462A8A">
        <w:rPr>
          <w:sz w:val="44"/>
          <w:szCs w:val="44"/>
        </w:rPr>
        <w:t>ward Categories</w:t>
      </w:r>
    </w:p>
    <w:p w14:paraId="4E0321F3" w14:textId="77777777" w:rsidR="00BE6145" w:rsidRPr="00DF08A6" w:rsidRDefault="00BE6145" w:rsidP="00DF08A6"/>
    <w:p w14:paraId="169745E6" w14:textId="68576902" w:rsidR="00FD4532" w:rsidRDefault="00FD4532" w:rsidP="00C8003E">
      <w:pPr>
        <w:pStyle w:val="Heading1"/>
        <w:numPr>
          <w:ilvl w:val="0"/>
          <w:numId w:val="0"/>
        </w:numPr>
        <w:rPr>
          <w:b w:val="0"/>
          <w:bCs w:val="0"/>
          <w:sz w:val="22"/>
          <w:szCs w:val="22"/>
        </w:rPr>
      </w:pPr>
    </w:p>
    <w:p w14:paraId="7C646F74" w14:textId="77777777" w:rsidR="00F56562" w:rsidRPr="00F56562" w:rsidRDefault="00F56562" w:rsidP="00C8003E">
      <w:pPr>
        <w:pStyle w:val="Heading1"/>
        <w:numPr>
          <w:ilvl w:val="0"/>
          <w:numId w:val="0"/>
        </w:numPr>
        <w:rPr>
          <w:b w:val="0"/>
          <w:bCs w:val="0"/>
          <w:sz w:val="22"/>
          <w:szCs w:val="22"/>
        </w:rPr>
      </w:pPr>
    </w:p>
    <w:p w14:paraId="65DAF4E0" w14:textId="0B56A8D2" w:rsidR="008336E7" w:rsidRPr="00D50A78" w:rsidRDefault="00730B90" w:rsidP="00C8003E">
      <w:pPr>
        <w:pStyle w:val="Heading1"/>
        <w:numPr>
          <w:ilvl w:val="0"/>
          <w:numId w:val="0"/>
        </w:numPr>
        <w:rPr>
          <w:color w:val="548DD4" w:themeColor="text2" w:themeTint="99"/>
          <w:u w:val="single"/>
        </w:rPr>
      </w:pPr>
      <w:r w:rsidRPr="00D50A78">
        <w:rPr>
          <w:color w:val="548DD4" w:themeColor="text2" w:themeTint="99"/>
          <w:u w:val="single"/>
        </w:rPr>
        <w:t xml:space="preserve">Research excellence </w:t>
      </w:r>
    </w:p>
    <w:p w14:paraId="067407D6" w14:textId="77777777" w:rsidR="008336E7" w:rsidRDefault="008336E7" w:rsidP="008336E7"/>
    <w:p w14:paraId="693A4B14" w14:textId="1FA09539" w:rsidR="00BE6145" w:rsidRPr="008336E7" w:rsidRDefault="00730B90" w:rsidP="008336E7">
      <w:pPr>
        <w:pStyle w:val="Heading2"/>
      </w:pPr>
      <w:r w:rsidRPr="008336E7">
        <w:t>Senior Research Award</w:t>
      </w:r>
    </w:p>
    <w:p w14:paraId="743F7A8D" w14:textId="77777777" w:rsidR="008336E7" w:rsidRDefault="008336E7" w:rsidP="00DF08A6"/>
    <w:p w14:paraId="318F9C4E" w14:textId="71FB0031" w:rsidR="00BE6145" w:rsidRPr="00DF08A6" w:rsidRDefault="00730B90" w:rsidP="00DF08A6">
      <w:r w:rsidRPr="00DF08A6">
        <w:t xml:space="preserve">The Senior Research Award (one award) will be presented to a distinguished CMPH academic. The awardee will have demonstrated excellence in </w:t>
      </w:r>
      <w:r w:rsidRPr="00D303AB">
        <w:rPr>
          <w:i/>
          <w:iCs/>
        </w:rPr>
        <w:t>at least two</w:t>
      </w:r>
      <w:r w:rsidRPr="00DF08A6">
        <w:t xml:space="preserve"> of the following categories </w:t>
      </w:r>
      <w:r w:rsidRPr="00D303AB">
        <w:rPr>
          <w:i/>
          <w:iCs/>
          <w:u w:val="single"/>
        </w:rPr>
        <w:t>in the last year</w:t>
      </w:r>
      <w:r w:rsidR="00F914CA" w:rsidRPr="00DF08A6">
        <w:t xml:space="preserve"> (all categories are weighted equally):</w:t>
      </w:r>
    </w:p>
    <w:p w14:paraId="6D6C2E15" w14:textId="77777777" w:rsidR="00BE6145" w:rsidRPr="00DF08A6" w:rsidRDefault="00BE6145" w:rsidP="00DF08A6"/>
    <w:p w14:paraId="6A30BBFC" w14:textId="77777777" w:rsidR="00BE6145" w:rsidRPr="00C8003E" w:rsidRDefault="00730B90" w:rsidP="00C8003E">
      <w:pPr>
        <w:pStyle w:val="ListParagraph"/>
      </w:pPr>
      <w:r w:rsidRPr="00C8003E">
        <w:t>Publications (include complete citation and a sentence for each describing the standing within the field and significance of the publication)</w:t>
      </w:r>
    </w:p>
    <w:p w14:paraId="6AA8A329" w14:textId="77777777" w:rsidR="00BE6145" w:rsidRPr="00C8003E" w:rsidRDefault="00730B90" w:rsidP="00C8003E">
      <w:pPr>
        <w:pStyle w:val="ListParagraph"/>
      </w:pPr>
      <w:r w:rsidRPr="00C8003E">
        <w:t>Research funding (list $ amount and source)</w:t>
      </w:r>
    </w:p>
    <w:p w14:paraId="62885C52" w14:textId="77777777" w:rsidR="00BE6145" w:rsidRPr="00C8003E" w:rsidRDefault="00730B90" w:rsidP="00C8003E">
      <w:pPr>
        <w:pStyle w:val="ListParagraph"/>
      </w:pPr>
      <w:r w:rsidRPr="00C8003E">
        <w:t>External awards (list awards and source)</w:t>
      </w:r>
    </w:p>
    <w:p w14:paraId="244A9C5E" w14:textId="77777777" w:rsidR="00BE6145" w:rsidRPr="00C8003E" w:rsidRDefault="00730B90" w:rsidP="00C8003E">
      <w:pPr>
        <w:pStyle w:val="ListParagraph"/>
      </w:pPr>
      <w:r w:rsidRPr="00C8003E">
        <w:t xml:space="preserve">Service to the discipline </w:t>
      </w:r>
      <w:proofErr w:type="gramStart"/>
      <w:r w:rsidRPr="00C8003E">
        <w:t>e.g.</w:t>
      </w:r>
      <w:proofErr w:type="gramEnd"/>
      <w:r w:rsidRPr="00C8003E">
        <w:t xml:space="preserve"> mentoring, outreach, collaboration/team building, translation (up to 300 words)</w:t>
      </w:r>
    </w:p>
    <w:p w14:paraId="5D5D8F2C" w14:textId="77777777" w:rsidR="00BE6145" w:rsidRPr="00C8003E" w:rsidRDefault="00730B90" w:rsidP="00C8003E">
      <w:pPr>
        <w:pStyle w:val="ListParagraph"/>
      </w:pPr>
      <w:r w:rsidRPr="00C8003E">
        <w:t>Honours/HDR completions (list number of students completed)</w:t>
      </w:r>
    </w:p>
    <w:p w14:paraId="694A80B2" w14:textId="77777777" w:rsidR="00BE6145" w:rsidRPr="00C8003E" w:rsidRDefault="00730B90" w:rsidP="00C8003E">
      <w:pPr>
        <w:pStyle w:val="ListParagraph"/>
      </w:pPr>
      <w:r w:rsidRPr="00C8003E">
        <w:t>Research translation (</w:t>
      </w:r>
      <w:proofErr w:type="gramStart"/>
      <w:r w:rsidRPr="00C8003E">
        <w:t>e.g.</w:t>
      </w:r>
      <w:proofErr w:type="gramEnd"/>
      <w:r w:rsidRPr="00C8003E">
        <w:t xml:space="preserve"> research commercialisation, translation into the clinic/policy).</w:t>
      </w:r>
    </w:p>
    <w:p w14:paraId="6A381436" w14:textId="77777777" w:rsidR="00BE6145" w:rsidRPr="00DF08A6" w:rsidRDefault="00BE6145" w:rsidP="00DF08A6"/>
    <w:p w14:paraId="6C2627C4" w14:textId="60422F7F" w:rsidR="00EA5BC0" w:rsidRPr="00DF08A6" w:rsidRDefault="00730B90" w:rsidP="008336E7">
      <w:pPr>
        <w:pStyle w:val="Heading2"/>
      </w:pPr>
      <w:r w:rsidRPr="00DF08A6">
        <w:t xml:space="preserve">Mid-Career Research Award </w:t>
      </w:r>
      <w:r w:rsidRPr="00D303AB">
        <w:rPr>
          <w:b w:val="0"/>
          <w:bCs w:val="0"/>
        </w:rPr>
        <w:t>(no more than 15 years post receiving their highest deg</w:t>
      </w:r>
      <w:r w:rsidR="00EA5BC0" w:rsidRPr="00D303AB">
        <w:rPr>
          <w:b w:val="0"/>
          <w:bCs w:val="0"/>
        </w:rPr>
        <w:t>ree or equivalent taking any career disruption into account)</w:t>
      </w:r>
    </w:p>
    <w:p w14:paraId="5A1821A9" w14:textId="77777777" w:rsidR="008336E7" w:rsidRPr="00DF08A6" w:rsidRDefault="008336E7" w:rsidP="00DF08A6"/>
    <w:p w14:paraId="4C339726" w14:textId="376FABE8" w:rsidR="00BE6145" w:rsidRPr="00DF08A6" w:rsidRDefault="00730B90" w:rsidP="00DF08A6">
      <w:r w:rsidRPr="00DF08A6">
        <w:t xml:space="preserve">The Mid-Career Research Award will be awarded to </w:t>
      </w:r>
      <w:r w:rsidRPr="00D303AB">
        <w:rPr>
          <w:i/>
          <w:iCs/>
        </w:rPr>
        <w:t>up to two</w:t>
      </w:r>
      <w:r w:rsidRPr="00DF08A6">
        <w:t xml:space="preserve"> distinguished CMPH Mid-Career academics. The awardee/s will have demonstrated excellence in </w:t>
      </w:r>
      <w:r w:rsidRPr="00D303AB">
        <w:rPr>
          <w:i/>
          <w:iCs/>
        </w:rPr>
        <w:t>at least two</w:t>
      </w:r>
      <w:r w:rsidRPr="00DF08A6">
        <w:t xml:space="preserve"> of the following categories </w:t>
      </w:r>
      <w:r w:rsidRPr="00D303AB">
        <w:rPr>
          <w:i/>
          <w:iCs/>
          <w:u w:val="single"/>
        </w:rPr>
        <w:t>in the last year</w:t>
      </w:r>
      <w:r w:rsidR="00412FD7" w:rsidRPr="00DF08A6">
        <w:t xml:space="preserve"> (all categories are weighted equally):</w:t>
      </w:r>
    </w:p>
    <w:p w14:paraId="723A7939" w14:textId="77777777" w:rsidR="00BE6145" w:rsidRPr="00DF08A6" w:rsidRDefault="00BE6145" w:rsidP="00DF08A6"/>
    <w:p w14:paraId="4849798A" w14:textId="77777777" w:rsidR="00BE6145" w:rsidRPr="00DF08A6" w:rsidRDefault="00730B90" w:rsidP="00C8003E">
      <w:pPr>
        <w:pStyle w:val="ListParagraph"/>
      </w:pPr>
      <w:r w:rsidRPr="00DF08A6">
        <w:t>Publications (include complete citation and a sentence for each describing the standing within the field and significance of the publication)</w:t>
      </w:r>
    </w:p>
    <w:p w14:paraId="45C88A75" w14:textId="77777777" w:rsidR="00BE6145" w:rsidRPr="00DF08A6" w:rsidRDefault="00730B90" w:rsidP="00C8003E">
      <w:pPr>
        <w:pStyle w:val="ListParagraph"/>
      </w:pPr>
      <w:r w:rsidRPr="00DF08A6">
        <w:t>Research funding (list $ amount and source)</w:t>
      </w:r>
    </w:p>
    <w:p w14:paraId="397496DA" w14:textId="77777777" w:rsidR="00BE6145" w:rsidRPr="00DF08A6" w:rsidRDefault="00730B90" w:rsidP="00C8003E">
      <w:pPr>
        <w:pStyle w:val="ListParagraph"/>
      </w:pPr>
      <w:r w:rsidRPr="00DF08A6">
        <w:t>External awards (list awards and source)</w:t>
      </w:r>
    </w:p>
    <w:p w14:paraId="48CBF5B2" w14:textId="77777777" w:rsidR="00BE6145" w:rsidRPr="00DF08A6" w:rsidRDefault="00730B90" w:rsidP="00C8003E">
      <w:pPr>
        <w:pStyle w:val="ListParagraph"/>
      </w:pPr>
      <w:r w:rsidRPr="00DF08A6">
        <w:t xml:space="preserve">Service to the discipline </w:t>
      </w:r>
      <w:proofErr w:type="gramStart"/>
      <w:r w:rsidRPr="00DF08A6">
        <w:t>e.g.</w:t>
      </w:r>
      <w:proofErr w:type="gramEnd"/>
      <w:r w:rsidRPr="00DF08A6">
        <w:t xml:space="preserve"> mentoring, outreach, collaboration/team building, translation (up to 300 words)</w:t>
      </w:r>
    </w:p>
    <w:p w14:paraId="539D98F6" w14:textId="77777777" w:rsidR="00BE6145" w:rsidRPr="00DF08A6" w:rsidRDefault="00730B90" w:rsidP="00C8003E">
      <w:pPr>
        <w:pStyle w:val="ListParagraph"/>
      </w:pPr>
      <w:r w:rsidRPr="00DF08A6">
        <w:lastRenderedPageBreak/>
        <w:t>Honours/HDR completions (list number of students completed)</w:t>
      </w:r>
    </w:p>
    <w:p w14:paraId="6001F367" w14:textId="77777777" w:rsidR="00BE6145" w:rsidRPr="00DF08A6" w:rsidRDefault="00730B90" w:rsidP="00C8003E">
      <w:pPr>
        <w:pStyle w:val="ListParagraph"/>
      </w:pPr>
      <w:r w:rsidRPr="00DF08A6">
        <w:t>Research translation (</w:t>
      </w:r>
      <w:proofErr w:type="gramStart"/>
      <w:r w:rsidRPr="00DF08A6">
        <w:t>e.g.</w:t>
      </w:r>
      <w:proofErr w:type="gramEnd"/>
      <w:r w:rsidRPr="00DF08A6">
        <w:t xml:space="preserve"> research commercialisation, translation into the clinic/policy).</w:t>
      </w:r>
    </w:p>
    <w:p w14:paraId="45E38EAF" w14:textId="77777777" w:rsidR="00BE6145" w:rsidRPr="00DF08A6" w:rsidRDefault="00BE6145" w:rsidP="00DF08A6"/>
    <w:p w14:paraId="2917FBC4" w14:textId="12C9BAE4" w:rsidR="00FD4532" w:rsidRPr="00F56562" w:rsidRDefault="00FD4532" w:rsidP="008336E7">
      <w:pPr>
        <w:pStyle w:val="Heading2"/>
        <w:rPr>
          <w:b w:val="0"/>
          <w:bCs w:val="0"/>
        </w:rPr>
      </w:pPr>
    </w:p>
    <w:p w14:paraId="6A7C44DD" w14:textId="6599507B" w:rsidR="00EA5BC0" w:rsidRDefault="00730B90" w:rsidP="008336E7">
      <w:pPr>
        <w:pStyle w:val="Heading2"/>
      </w:pPr>
      <w:r w:rsidRPr="00DF08A6">
        <w:t>Early Career Research Award</w:t>
      </w:r>
      <w:r w:rsidRPr="00D303AB">
        <w:rPr>
          <w:b w:val="0"/>
          <w:bCs w:val="0"/>
        </w:rPr>
        <w:t xml:space="preserve"> (no more than 7 years post receiving their highest degree</w:t>
      </w:r>
      <w:r w:rsidR="00EA5BC0" w:rsidRPr="00D303AB">
        <w:rPr>
          <w:b w:val="0"/>
          <w:bCs w:val="0"/>
        </w:rPr>
        <w:t xml:space="preserve"> or equivalent taking any career disruption into account)</w:t>
      </w:r>
    </w:p>
    <w:p w14:paraId="5793E147" w14:textId="77777777" w:rsidR="008336E7" w:rsidRPr="00DF08A6" w:rsidRDefault="008336E7" w:rsidP="00DF08A6"/>
    <w:p w14:paraId="098717BE" w14:textId="77777777" w:rsidR="00412FD7" w:rsidRPr="00DF08A6" w:rsidRDefault="00730B90" w:rsidP="00DF08A6">
      <w:r w:rsidRPr="00DF08A6">
        <w:t xml:space="preserve">The Early Career Research Award will be awarded to </w:t>
      </w:r>
      <w:r w:rsidRPr="00D303AB">
        <w:rPr>
          <w:i/>
          <w:iCs/>
        </w:rPr>
        <w:t>up to two</w:t>
      </w:r>
      <w:r w:rsidRPr="00DF08A6">
        <w:t xml:space="preserve"> distinguished CMPH Early Career Academics. The awardee/s will have demonstrated excellence in </w:t>
      </w:r>
      <w:r w:rsidRPr="00D303AB">
        <w:rPr>
          <w:i/>
          <w:iCs/>
        </w:rPr>
        <w:t>at least two</w:t>
      </w:r>
      <w:r w:rsidRPr="00DF08A6">
        <w:t xml:space="preserve"> of the following categories </w:t>
      </w:r>
      <w:r w:rsidRPr="00D303AB">
        <w:rPr>
          <w:i/>
          <w:iCs/>
          <w:u w:val="single"/>
        </w:rPr>
        <w:t>in the last year</w:t>
      </w:r>
      <w:r w:rsidR="00412FD7" w:rsidRPr="00DF08A6">
        <w:t xml:space="preserve"> (all categories are weighted equally):</w:t>
      </w:r>
    </w:p>
    <w:p w14:paraId="0D717D13" w14:textId="1EA69A4F" w:rsidR="00BE6145" w:rsidRPr="00DF08A6" w:rsidRDefault="00BE6145" w:rsidP="00DF08A6"/>
    <w:p w14:paraId="55D7FB72" w14:textId="77777777" w:rsidR="00BE6145" w:rsidRPr="00DF08A6" w:rsidRDefault="00BE6145" w:rsidP="00DF08A6"/>
    <w:p w14:paraId="59D6316F" w14:textId="77777777" w:rsidR="00BE6145" w:rsidRPr="00DF08A6" w:rsidRDefault="00730B90" w:rsidP="008336E7">
      <w:pPr>
        <w:pStyle w:val="ListParagraph"/>
      </w:pPr>
      <w:r w:rsidRPr="00DF08A6">
        <w:t>Publications (include complete citation and a sentence for each describing the standing within the field and significance of the publication)</w:t>
      </w:r>
    </w:p>
    <w:p w14:paraId="0933542E" w14:textId="77777777" w:rsidR="00BE6145" w:rsidRPr="00DF08A6" w:rsidRDefault="00730B90" w:rsidP="008336E7">
      <w:pPr>
        <w:pStyle w:val="ListParagraph"/>
      </w:pPr>
      <w:r w:rsidRPr="00DF08A6">
        <w:t>Research funding (list $ amount and source)</w:t>
      </w:r>
    </w:p>
    <w:p w14:paraId="11312EEC" w14:textId="77777777" w:rsidR="00BE6145" w:rsidRPr="00DF08A6" w:rsidRDefault="00730B90" w:rsidP="008336E7">
      <w:pPr>
        <w:pStyle w:val="ListParagraph"/>
      </w:pPr>
      <w:r w:rsidRPr="00DF08A6">
        <w:t>External awards (list awards and source)</w:t>
      </w:r>
    </w:p>
    <w:p w14:paraId="26E1CEC8" w14:textId="77777777" w:rsidR="00BE6145" w:rsidRPr="00DF08A6" w:rsidRDefault="00730B90" w:rsidP="008336E7">
      <w:pPr>
        <w:pStyle w:val="ListParagraph"/>
      </w:pPr>
      <w:r w:rsidRPr="00DF08A6">
        <w:t xml:space="preserve">Service to the discipline </w:t>
      </w:r>
      <w:proofErr w:type="gramStart"/>
      <w:r w:rsidRPr="00DF08A6">
        <w:t>e.g.</w:t>
      </w:r>
      <w:proofErr w:type="gramEnd"/>
      <w:r w:rsidRPr="00DF08A6">
        <w:t xml:space="preserve"> mentoring, outreach, collaboration/team building, translation (up to 300 words)</w:t>
      </w:r>
    </w:p>
    <w:p w14:paraId="3FC6873A" w14:textId="77777777" w:rsidR="00BE6145" w:rsidRPr="00DF08A6" w:rsidRDefault="00730B90" w:rsidP="008336E7">
      <w:pPr>
        <w:pStyle w:val="ListParagraph"/>
      </w:pPr>
      <w:r w:rsidRPr="00DF08A6">
        <w:t>Honours/HDR completions (list number of students completed)</w:t>
      </w:r>
    </w:p>
    <w:p w14:paraId="3E3E9B3B" w14:textId="77777777" w:rsidR="00BE6145" w:rsidRPr="00DF08A6" w:rsidRDefault="00730B90" w:rsidP="008336E7">
      <w:pPr>
        <w:pStyle w:val="ListParagraph"/>
      </w:pPr>
      <w:r w:rsidRPr="00DF08A6">
        <w:t>Research translation (</w:t>
      </w:r>
      <w:proofErr w:type="gramStart"/>
      <w:r w:rsidRPr="00DF08A6">
        <w:t>e.g.</w:t>
      </w:r>
      <w:proofErr w:type="gramEnd"/>
      <w:r w:rsidRPr="00DF08A6">
        <w:t xml:space="preserve"> research commercialisation, translation into the clinic/policy).</w:t>
      </w:r>
    </w:p>
    <w:p w14:paraId="02D5F423" w14:textId="6E896806" w:rsidR="00BE6145" w:rsidRDefault="00BE6145" w:rsidP="00DF08A6"/>
    <w:p w14:paraId="52D8A0CB" w14:textId="7B2DC17C" w:rsidR="00C15428" w:rsidRPr="00D50A78" w:rsidRDefault="00730B90" w:rsidP="00C8003E">
      <w:pPr>
        <w:pStyle w:val="Heading1"/>
        <w:numPr>
          <w:ilvl w:val="0"/>
          <w:numId w:val="0"/>
        </w:numPr>
        <w:rPr>
          <w:color w:val="548DD4" w:themeColor="text2" w:themeTint="99"/>
          <w:u w:val="single"/>
        </w:rPr>
      </w:pPr>
      <w:r w:rsidRPr="00D50A78">
        <w:rPr>
          <w:color w:val="548DD4" w:themeColor="text2" w:themeTint="99"/>
          <w:u w:val="single"/>
        </w:rPr>
        <w:t>Teaching excellenc</w:t>
      </w:r>
      <w:r w:rsidR="00D50A78">
        <w:rPr>
          <w:color w:val="548DD4" w:themeColor="text2" w:themeTint="99"/>
          <w:u w:val="single"/>
        </w:rPr>
        <w:t>e</w:t>
      </w:r>
    </w:p>
    <w:p w14:paraId="471A9A8A" w14:textId="77777777" w:rsidR="008336E7" w:rsidRDefault="008336E7" w:rsidP="00DF08A6"/>
    <w:p w14:paraId="1890E05E" w14:textId="7316A73C" w:rsidR="00BE6145" w:rsidRPr="00DF08A6" w:rsidRDefault="00730B90" w:rsidP="008336E7">
      <w:pPr>
        <w:pStyle w:val="Heading2"/>
      </w:pPr>
      <w:r w:rsidRPr="00DF08A6">
        <w:t>Teaching Innovation and Scholarship Award</w:t>
      </w:r>
    </w:p>
    <w:p w14:paraId="50B2844F" w14:textId="77777777" w:rsidR="00BE6145" w:rsidRPr="00DF08A6" w:rsidRDefault="00BE6145" w:rsidP="00DF08A6"/>
    <w:p w14:paraId="06FDC002" w14:textId="77777777" w:rsidR="00C8003E" w:rsidRDefault="00730B90" w:rsidP="00DF08A6">
      <w:r w:rsidRPr="00DF08A6">
        <w:t xml:space="preserve">The Teaching Innovation and Scholarship Award will be awarded to </w:t>
      </w:r>
      <w:r w:rsidRPr="008E03EA">
        <w:rPr>
          <w:i/>
          <w:iCs/>
        </w:rPr>
        <w:t>up to two</w:t>
      </w:r>
      <w:r w:rsidRPr="00DF08A6">
        <w:t xml:space="preserve"> CMPH academics. This award is designed to recognise excellence and innovation in teaching, educational leadership or scholarship that has influenced and enhanced learning and teaching and/or the student experience </w:t>
      </w:r>
      <w:r w:rsidRPr="00C8003E">
        <w:rPr>
          <w:i/>
          <w:iCs/>
          <w:u w:val="single"/>
        </w:rPr>
        <w:t>in the last year</w:t>
      </w:r>
      <w:r w:rsidR="00C8003E">
        <w:t>.</w:t>
      </w:r>
    </w:p>
    <w:p w14:paraId="739ADC19" w14:textId="77777777" w:rsidR="00C8003E" w:rsidRDefault="00C8003E" w:rsidP="00DF08A6"/>
    <w:p w14:paraId="6B8AA5E2" w14:textId="16FAAC43" w:rsidR="00BE6145" w:rsidRDefault="00730B90" w:rsidP="00DF08A6">
      <w:r w:rsidRPr="00DF08A6">
        <w:t xml:space="preserve">Awardees must demonstrate excellence in </w:t>
      </w:r>
      <w:r w:rsidRPr="00C8003E">
        <w:rPr>
          <w:i/>
          <w:iCs/>
        </w:rPr>
        <w:t>at least two</w:t>
      </w:r>
      <w:r w:rsidRPr="00DF08A6">
        <w:t xml:space="preserve"> of the following categories:</w:t>
      </w:r>
    </w:p>
    <w:p w14:paraId="4586D56C" w14:textId="77777777" w:rsidR="008336E7" w:rsidRPr="00DF08A6" w:rsidRDefault="008336E7" w:rsidP="00DF08A6"/>
    <w:p w14:paraId="410AD17A" w14:textId="77777777" w:rsidR="00BE6145" w:rsidRPr="00DF08A6" w:rsidRDefault="00730B90" w:rsidP="008336E7">
      <w:pPr>
        <w:pStyle w:val="ListParagraph"/>
      </w:pPr>
      <w:r w:rsidRPr="00DF08A6">
        <w:t>Participating in and contributing to professional activities related to learning and teaching</w:t>
      </w:r>
    </w:p>
    <w:p w14:paraId="57131142" w14:textId="77777777" w:rsidR="00BE6145" w:rsidRPr="00DF08A6" w:rsidRDefault="00730B90" w:rsidP="008336E7">
      <w:pPr>
        <w:pStyle w:val="ListParagraph"/>
      </w:pPr>
      <w:r w:rsidRPr="00DF08A6">
        <w:t>Innovations in service and support for students</w:t>
      </w:r>
    </w:p>
    <w:p w14:paraId="1189E5F3" w14:textId="77777777" w:rsidR="00BE6145" w:rsidRPr="00DF08A6" w:rsidRDefault="00730B90" w:rsidP="008336E7">
      <w:pPr>
        <w:pStyle w:val="ListParagraph"/>
      </w:pPr>
      <w:r w:rsidRPr="00DF08A6">
        <w:t>Coordination, management and leadership of courses and student learning</w:t>
      </w:r>
    </w:p>
    <w:p w14:paraId="72474E00" w14:textId="77777777" w:rsidR="00BE6145" w:rsidRPr="00DF08A6" w:rsidRDefault="00730B90" w:rsidP="008336E7">
      <w:pPr>
        <w:pStyle w:val="ListParagraph"/>
      </w:pPr>
      <w:r w:rsidRPr="00DF08A6">
        <w:t>Demonstrating leadership through activities that have broad influence on the profession</w:t>
      </w:r>
    </w:p>
    <w:p w14:paraId="34885514" w14:textId="77777777" w:rsidR="00BE6145" w:rsidRPr="00DF08A6" w:rsidRDefault="00730B90" w:rsidP="008336E7">
      <w:pPr>
        <w:pStyle w:val="ListParagraph"/>
      </w:pPr>
      <w:r w:rsidRPr="00DF08A6">
        <w:t>Providing innovative learning and teaching for different contexts, including technology enhanced environments, for large and small class sizes and/or to meet the needs of a diverse student cohort</w:t>
      </w:r>
    </w:p>
    <w:p w14:paraId="6D34BC80" w14:textId="5988137D" w:rsidR="00BE6145" w:rsidRPr="00DF08A6" w:rsidRDefault="00730B90" w:rsidP="008336E7">
      <w:pPr>
        <w:pStyle w:val="ListParagraph"/>
      </w:pPr>
      <w:r w:rsidRPr="00DF08A6">
        <w:t xml:space="preserve">Influencing the overall academic, </w:t>
      </w:r>
      <w:r w:rsidR="00C15428" w:rsidRPr="00DF08A6">
        <w:t>social,</w:t>
      </w:r>
      <w:r w:rsidRPr="00DF08A6">
        <w:t xml:space="preserve"> and cultural experience of higher education.</w:t>
      </w:r>
    </w:p>
    <w:p w14:paraId="1B306B58" w14:textId="77777777" w:rsidR="00BE6145" w:rsidRPr="00DF08A6" w:rsidRDefault="00BE6145" w:rsidP="00DF08A6"/>
    <w:p w14:paraId="3B6ABC5C" w14:textId="4452817B" w:rsidR="00BE6145" w:rsidRDefault="00730B90" w:rsidP="008336E7">
      <w:pPr>
        <w:pStyle w:val="Heading2"/>
      </w:pPr>
      <w:r w:rsidRPr="00DF08A6">
        <w:t>Outstanding Student-centred Teaching and Learning Award</w:t>
      </w:r>
    </w:p>
    <w:p w14:paraId="1C93116A" w14:textId="77777777" w:rsidR="00BE6145" w:rsidRPr="00DF08A6" w:rsidRDefault="00BE6145" w:rsidP="00DF08A6"/>
    <w:p w14:paraId="6BBD6B97" w14:textId="77777777" w:rsidR="008336E7" w:rsidRDefault="00730B90" w:rsidP="00DF08A6">
      <w:r w:rsidRPr="00DF08A6">
        <w:t xml:space="preserve">In alignment with the student-centred ethos that underpins the values of Flinders University, </w:t>
      </w:r>
      <w:r w:rsidRPr="00DF08A6">
        <w:lastRenderedPageBreak/>
        <w:t xml:space="preserve">this award will celebrate and recognise the efforts of </w:t>
      </w:r>
      <w:r w:rsidRPr="008E03EA">
        <w:rPr>
          <w:i/>
          <w:iCs/>
        </w:rPr>
        <w:t>up to two</w:t>
      </w:r>
      <w:r w:rsidRPr="00DF08A6">
        <w:t xml:space="preserve"> CMPH staff that have developed successful approaches to teaching and the support of learning that influence, motivate and inspire students to learn. Our underlying ethos of being student centred is a distinguishing feature of the Flinders experience and is the measure by which we judge the impact of innovation in teaching and student support. </w:t>
      </w:r>
    </w:p>
    <w:p w14:paraId="04AA3C44" w14:textId="77777777" w:rsidR="008336E7" w:rsidRDefault="008336E7" w:rsidP="00DF08A6"/>
    <w:p w14:paraId="510FD890" w14:textId="5CD579B0" w:rsidR="00BE6145" w:rsidRDefault="00730B90" w:rsidP="00DF08A6">
      <w:r w:rsidRPr="00DF08A6">
        <w:t xml:space="preserve">Nominations should address </w:t>
      </w:r>
      <w:r w:rsidRPr="00C8003E">
        <w:rPr>
          <w:i/>
          <w:iCs/>
        </w:rPr>
        <w:t>at least two</w:t>
      </w:r>
      <w:r w:rsidRPr="00DF08A6">
        <w:t xml:space="preserve"> of the following criteria related to the student-centred ethos of the University </w:t>
      </w:r>
      <w:r w:rsidRPr="00C8003E">
        <w:rPr>
          <w:i/>
          <w:iCs/>
          <w:u w:val="single"/>
        </w:rPr>
        <w:t>in the last year</w:t>
      </w:r>
      <w:r w:rsidRPr="00DF08A6">
        <w:t>:</w:t>
      </w:r>
    </w:p>
    <w:p w14:paraId="5A4B934C" w14:textId="77777777" w:rsidR="008336E7" w:rsidRPr="00DF08A6" w:rsidRDefault="008336E7" w:rsidP="00DF08A6"/>
    <w:p w14:paraId="67F3E9F9" w14:textId="77777777" w:rsidR="00BE6145" w:rsidRPr="00DF08A6" w:rsidRDefault="00730B90" w:rsidP="008336E7">
      <w:pPr>
        <w:pStyle w:val="ListParagraph"/>
      </w:pPr>
      <w:r w:rsidRPr="00DF08A6">
        <w:t>Encouraging the student voice</w:t>
      </w:r>
    </w:p>
    <w:p w14:paraId="1363D13F" w14:textId="77777777" w:rsidR="00BE6145" w:rsidRPr="00DF08A6" w:rsidRDefault="00730B90" w:rsidP="008336E7">
      <w:pPr>
        <w:pStyle w:val="ListParagraph"/>
      </w:pPr>
      <w:r w:rsidRPr="00DF08A6">
        <w:t>Celebrating student achievement</w:t>
      </w:r>
    </w:p>
    <w:p w14:paraId="18182CB5" w14:textId="77777777" w:rsidR="00BE6145" w:rsidRPr="00DF08A6" w:rsidRDefault="00730B90" w:rsidP="008336E7">
      <w:pPr>
        <w:pStyle w:val="ListParagraph"/>
      </w:pPr>
      <w:r w:rsidRPr="00DF08A6">
        <w:t>Focus on student success</w:t>
      </w:r>
    </w:p>
    <w:p w14:paraId="7277CD6E" w14:textId="77777777" w:rsidR="00BE6145" w:rsidRPr="00DF08A6" w:rsidRDefault="00730B90" w:rsidP="008336E7">
      <w:pPr>
        <w:pStyle w:val="ListParagraph"/>
      </w:pPr>
      <w:r w:rsidRPr="00DF08A6">
        <w:t>Empowering students as partners</w:t>
      </w:r>
    </w:p>
    <w:p w14:paraId="7910DF35" w14:textId="77777777" w:rsidR="00BE6145" w:rsidRPr="00DF08A6" w:rsidRDefault="00730B90" w:rsidP="008336E7">
      <w:pPr>
        <w:pStyle w:val="ListParagraph"/>
      </w:pPr>
      <w:r w:rsidRPr="00DF08A6">
        <w:t>Providing timely and meaningful feedback.</w:t>
      </w:r>
    </w:p>
    <w:p w14:paraId="23E3B185" w14:textId="77777777" w:rsidR="00F56562" w:rsidRPr="00F56562" w:rsidRDefault="00F56562" w:rsidP="00C8003E">
      <w:pPr>
        <w:pStyle w:val="Heading1"/>
        <w:numPr>
          <w:ilvl w:val="0"/>
          <w:numId w:val="0"/>
        </w:numPr>
        <w:rPr>
          <w:b w:val="0"/>
          <w:bCs w:val="0"/>
          <w:sz w:val="22"/>
          <w:szCs w:val="22"/>
        </w:rPr>
      </w:pPr>
    </w:p>
    <w:p w14:paraId="12E0BDAA" w14:textId="14A5D3C4" w:rsidR="00BE6145" w:rsidRPr="00FD4532" w:rsidRDefault="00730B90" w:rsidP="00C8003E">
      <w:pPr>
        <w:pStyle w:val="Heading1"/>
        <w:numPr>
          <w:ilvl w:val="0"/>
          <w:numId w:val="0"/>
        </w:numPr>
        <w:rPr>
          <w:color w:val="548DD4" w:themeColor="text2" w:themeTint="99"/>
          <w:u w:val="single"/>
        </w:rPr>
      </w:pPr>
      <w:r w:rsidRPr="00FD4532">
        <w:rPr>
          <w:color w:val="548DD4" w:themeColor="text2" w:themeTint="99"/>
          <w:u w:val="single"/>
        </w:rPr>
        <w:t>Professional Staff Awards</w:t>
      </w:r>
    </w:p>
    <w:p w14:paraId="52D8E751" w14:textId="77777777" w:rsidR="00BE6145" w:rsidRPr="00DF08A6" w:rsidRDefault="00BE6145" w:rsidP="00DF08A6"/>
    <w:p w14:paraId="662EEFFB" w14:textId="4B53D482" w:rsidR="00BE6145" w:rsidRDefault="00730B90" w:rsidP="008336E7">
      <w:pPr>
        <w:pStyle w:val="Heading2"/>
      </w:pPr>
      <w:r w:rsidRPr="00DF08A6">
        <w:t>Professional Support Services Award</w:t>
      </w:r>
    </w:p>
    <w:p w14:paraId="2F33B901" w14:textId="77777777" w:rsidR="00BE6145" w:rsidRPr="00DF08A6" w:rsidRDefault="00BE6145" w:rsidP="00DF08A6"/>
    <w:p w14:paraId="6E4D29D0" w14:textId="53DBFE16" w:rsidR="00BE6145" w:rsidRPr="00DF08A6" w:rsidRDefault="00730B90" w:rsidP="00DF08A6">
      <w:r w:rsidRPr="00DF08A6">
        <w:t>This award will recognize exemplary service by professional support services staff member</w:t>
      </w:r>
      <w:r w:rsidR="00BC2159">
        <w:t>s</w:t>
      </w:r>
      <w:r w:rsidRPr="00DF08A6">
        <w:t xml:space="preserve"> working in the College who ha</w:t>
      </w:r>
      <w:r w:rsidR="00AD273F">
        <w:t>ve</w:t>
      </w:r>
      <w:r w:rsidRPr="00DF08A6">
        <w:t xml:space="preserve"> made an outstanding positive impact. Eligible staff members must be working in the College but may be a member of a University Portfolio or division such as Finance, People and Culture, Student Administrative Services, Work Integrated Learning, Research Development and Support etc. </w:t>
      </w:r>
      <w:r w:rsidRPr="00C8003E">
        <w:rPr>
          <w:i/>
          <w:iCs/>
        </w:rPr>
        <w:t>One or more</w:t>
      </w:r>
      <w:r w:rsidRPr="00DF08A6">
        <w:t xml:space="preserve"> of the following criteria should be addressed in a nomination (maximum one page):</w:t>
      </w:r>
    </w:p>
    <w:p w14:paraId="2149F139" w14:textId="77777777" w:rsidR="00BE6145" w:rsidRPr="00DF08A6" w:rsidRDefault="00BE6145" w:rsidP="00DF08A6"/>
    <w:p w14:paraId="2CB7D779" w14:textId="77777777" w:rsidR="00BE6145" w:rsidRPr="00DF08A6" w:rsidRDefault="00730B90" w:rsidP="008336E7">
      <w:pPr>
        <w:pStyle w:val="ListParagraph"/>
      </w:pPr>
      <w:r w:rsidRPr="00DF08A6">
        <w:t>A commitment to delivering a successful outcome for the College as a whole, putting aside team boundaries</w:t>
      </w:r>
    </w:p>
    <w:p w14:paraId="23D2068A" w14:textId="77777777" w:rsidR="00BE6145" w:rsidRPr="00DF08A6" w:rsidRDefault="00730B90" w:rsidP="008336E7">
      <w:pPr>
        <w:pStyle w:val="ListParagraph"/>
      </w:pPr>
      <w:r w:rsidRPr="00DF08A6">
        <w:t>Demonstrating a positive attitude in working with other individuals or teams, particularly in challenging situations or under pressure</w:t>
      </w:r>
    </w:p>
    <w:p w14:paraId="4B519DD8" w14:textId="77777777" w:rsidR="00BE6145" w:rsidRPr="00DF08A6" w:rsidRDefault="00730B90" w:rsidP="008336E7">
      <w:pPr>
        <w:pStyle w:val="ListParagraph"/>
      </w:pPr>
      <w:r w:rsidRPr="00DF08A6">
        <w:t>Looking beyond an immediate problem to identify and proactively fix potential future problems, especially through collaboration with other groups</w:t>
      </w:r>
    </w:p>
    <w:p w14:paraId="15214CC6" w14:textId="77777777" w:rsidR="00BE6145" w:rsidRPr="00DF08A6" w:rsidRDefault="00730B90" w:rsidP="008336E7">
      <w:pPr>
        <w:pStyle w:val="ListParagraph"/>
      </w:pPr>
      <w:r w:rsidRPr="00DF08A6">
        <w:t xml:space="preserve">Acting as an advocate for the College, particularly with </w:t>
      </w:r>
      <w:proofErr w:type="gramStart"/>
      <w:r w:rsidRPr="00DF08A6">
        <w:t>University</w:t>
      </w:r>
      <w:proofErr w:type="gramEnd"/>
      <w:r w:rsidRPr="00DF08A6">
        <w:t>-wide professional services teams or where University policies, processes or systems need review</w:t>
      </w:r>
    </w:p>
    <w:p w14:paraId="398B1196" w14:textId="77777777" w:rsidR="00BE6145" w:rsidRPr="00DF08A6" w:rsidRDefault="00730B90" w:rsidP="008336E7">
      <w:pPr>
        <w:pStyle w:val="ListParagraph"/>
      </w:pPr>
      <w:r w:rsidRPr="00DF08A6">
        <w:t xml:space="preserve">Finding new, creative, and effective ways of improving professional services within our </w:t>
      </w:r>
      <w:proofErr w:type="gramStart"/>
      <w:r w:rsidRPr="00DF08A6">
        <w:t>College</w:t>
      </w:r>
      <w:proofErr w:type="gramEnd"/>
    </w:p>
    <w:p w14:paraId="272E702D" w14:textId="77777777" w:rsidR="00BE6145" w:rsidRPr="00DF08A6" w:rsidRDefault="00730B90" w:rsidP="008336E7">
      <w:pPr>
        <w:pStyle w:val="ListParagraph"/>
      </w:pPr>
      <w:r w:rsidRPr="00DF08A6">
        <w:t>Tailoring standard services to accommodate the diverse needs of our student and academic cohort.</w:t>
      </w:r>
    </w:p>
    <w:p w14:paraId="3B92292B" w14:textId="77777777" w:rsidR="00BE6145" w:rsidRPr="00DF08A6" w:rsidRDefault="00BE6145" w:rsidP="00DF08A6"/>
    <w:p w14:paraId="714220A6" w14:textId="6E1C1986" w:rsidR="00BE6145" w:rsidRDefault="00730B90" w:rsidP="008336E7">
      <w:pPr>
        <w:pStyle w:val="Heading2"/>
      </w:pPr>
      <w:r w:rsidRPr="00DF08A6">
        <w:t xml:space="preserve">Professional Research </w:t>
      </w:r>
      <w:r w:rsidR="00BC2159">
        <w:t>Staff</w:t>
      </w:r>
      <w:r w:rsidR="00BC2159" w:rsidRPr="00DF08A6">
        <w:t xml:space="preserve"> </w:t>
      </w:r>
      <w:r w:rsidRPr="00DF08A6">
        <w:t>Award</w:t>
      </w:r>
    </w:p>
    <w:p w14:paraId="329470AB" w14:textId="77777777" w:rsidR="00BE6145" w:rsidRPr="00DF08A6" w:rsidRDefault="00BE6145" w:rsidP="00DF08A6"/>
    <w:p w14:paraId="03B322FF" w14:textId="470C16DA" w:rsidR="00BE6145" w:rsidRDefault="00730B90" w:rsidP="00DF08A6">
      <w:r w:rsidRPr="00DF08A6">
        <w:t>This award will recognize exemplary service by professional staff member</w:t>
      </w:r>
      <w:r w:rsidR="00BC2159">
        <w:t>s</w:t>
      </w:r>
      <w:r w:rsidRPr="00DF08A6">
        <w:t xml:space="preserve"> employed in the College in a role conducting research. </w:t>
      </w:r>
      <w:r w:rsidRPr="00C8003E">
        <w:rPr>
          <w:i/>
          <w:iCs/>
        </w:rPr>
        <w:t>One or more</w:t>
      </w:r>
      <w:r w:rsidRPr="00DF08A6">
        <w:t xml:space="preserve"> of the following criteria should be addressed in a nomination (maximum one page</w:t>
      </w:r>
      <w:r w:rsidR="00C15428" w:rsidRPr="00DF08A6">
        <w:t>).</w:t>
      </w:r>
    </w:p>
    <w:p w14:paraId="4E977EF7" w14:textId="77777777" w:rsidR="008336E7" w:rsidRPr="00DF08A6" w:rsidRDefault="008336E7" w:rsidP="00DF08A6"/>
    <w:p w14:paraId="0A524012" w14:textId="77777777" w:rsidR="00BE6145" w:rsidRPr="00DF08A6" w:rsidRDefault="00730B90" w:rsidP="008336E7">
      <w:pPr>
        <w:pStyle w:val="ListParagraph"/>
      </w:pPr>
      <w:r w:rsidRPr="00DF08A6">
        <w:t>Providing an outstanding contribution, beyond what might normally be expected, to the outcomes of one or more research projects</w:t>
      </w:r>
    </w:p>
    <w:p w14:paraId="1070A532" w14:textId="77777777" w:rsidR="00BE6145" w:rsidRPr="00DF08A6" w:rsidRDefault="00730B90" w:rsidP="008336E7">
      <w:pPr>
        <w:pStyle w:val="ListParagraph"/>
      </w:pPr>
      <w:r w:rsidRPr="00DF08A6">
        <w:lastRenderedPageBreak/>
        <w:t>Significant contribution to the development or refinement of research techniques or methodologies</w:t>
      </w:r>
    </w:p>
    <w:p w14:paraId="4C7E1A8C" w14:textId="77777777" w:rsidR="00BE6145" w:rsidRPr="00DF08A6" w:rsidRDefault="00730B90" w:rsidP="008336E7">
      <w:pPr>
        <w:pStyle w:val="ListParagraph"/>
      </w:pPr>
      <w:r w:rsidRPr="00DF08A6">
        <w:t>Demonstrating a positive attitude in working with colleagues, particularly in challenging situations or under pressure</w:t>
      </w:r>
    </w:p>
    <w:p w14:paraId="1CCD4D38" w14:textId="77777777" w:rsidR="00BE6145" w:rsidRPr="00DF08A6" w:rsidRDefault="00730B90" w:rsidP="008336E7">
      <w:pPr>
        <w:pStyle w:val="ListParagraph"/>
      </w:pPr>
      <w:r w:rsidRPr="00DF08A6">
        <w:t>Looking beyond an immediate problem to identify and proactively address potential future problems.</w:t>
      </w:r>
    </w:p>
    <w:p w14:paraId="0B182774" w14:textId="3A8E7E7B" w:rsidR="00BE6145" w:rsidRDefault="00BE6145" w:rsidP="00DF08A6"/>
    <w:p w14:paraId="0285F4B7" w14:textId="4EBCCD53" w:rsidR="008336E7" w:rsidRPr="00FD4532" w:rsidRDefault="00730B90" w:rsidP="00C8003E">
      <w:pPr>
        <w:pStyle w:val="Heading1"/>
        <w:numPr>
          <w:ilvl w:val="0"/>
          <w:numId w:val="0"/>
        </w:numPr>
        <w:rPr>
          <w:color w:val="548DD4" w:themeColor="text2" w:themeTint="99"/>
          <w:u w:val="single"/>
        </w:rPr>
      </w:pPr>
      <w:r w:rsidRPr="00FD4532">
        <w:rPr>
          <w:color w:val="548DD4" w:themeColor="text2" w:themeTint="99"/>
          <w:u w:val="single"/>
        </w:rPr>
        <w:t>VPED Awards</w:t>
      </w:r>
      <w:r w:rsidR="009B319B" w:rsidRPr="00FD4532">
        <w:rPr>
          <w:color w:val="548DD4" w:themeColor="text2" w:themeTint="99"/>
          <w:u w:val="single"/>
        </w:rPr>
        <w:t xml:space="preserve"> and Service Awards</w:t>
      </w:r>
    </w:p>
    <w:p w14:paraId="55256A50" w14:textId="77777777" w:rsidR="008336E7" w:rsidRPr="00F56562" w:rsidRDefault="008336E7" w:rsidP="008336E7">
      <w:pPr>
        <w:pStyle w:val="Heading1"/>
        <w:numPr>
          <w:ilvl w:val="0"/>
          <w:numId w:val="0"/>
        </w:numPr>
        <w:rPr>
          <w:b w:val="0"/>
          <w:bCs w:val="0"/>
          <w:sz w:val="22"/>
          <w:szCs w:val="22"/>
        </w:rPr>
      </w:pPr>
    </w:p>
    <w:p w14:paraId="38AE32E8" w14:textId="7BD929CC" w:rsidR="00BE6145" w:rsidRPr="00DF08A6" w:rsidRDefault="00730B90" w:rsidP="008336E7">
      <w:pPr>
        <w:pStyle w:val="Heading2"/>
      </w:pPr>
      <w:r w:rsidRPr="00DF08A6">
        <w:t>VPED Lifetime Achievement Award</w:t>
      </w:r>
    </w:p>
    <w:p w14:paraId="73E63CEF" w14:textId="77777777" w:rsidR="00BE6145" w:rsidRPr="00DF08A6" w:rsidRDefault="00BE6145" w:rsidP="00DF08A6"/>
    <w:p w14:paraId="62BC9994" w14:textId="24EEB9D3" w:rsidR="00BE6145" w:rsidRDefault="00730B90" w:rsidP="00DF08A6">
      <w:r w:rsidRPr="00DF08A6">
        <w:t>The Lifetime Achievement Award (one award) will be presented to a present or past CMPH Academic staff member to acknowledge distinguished career achievements related to the following criteria:</w:t>
      </w:r>
    </w:p>
    <w:p w14:paraId="755BA34C" w14:textId="77777777" w:rsidR="008336E7" w:rsidRPr="00DF08A6" w:rsidRDefault="008336E7" w:rsidP="00DF08A6"/>
    <w:p w14:paraId="785CAD3C" w14:textId="77777777" w:rsidR="00BE6145" w:rsidRPr="00DF08A6" w:rsidRDefault="00730B90" w:rsidP="008336E7">
      <w:pPr>
        <w:pStyle w:val="ListParagraph"/>
      </w:pPr>
      <w:r w:rsidRPr="00DF08A6">
        <w:t>Major lifetime contributions to teaching or research (clinical and/or fundamental) with national and international recognition of excellence</w:t>
      </w:r>
    </w:p>
    <w:p w14:paraId="54443A82" w14:textId="77777777" w:rsidR="00FD4532" w:rsidRDefault="00730B90" w:rsidP="008336E7">
      <w:pPr>
        <w:pStyle w:val="ListParagraph"/>
      </w:pPr>
      <w:r w:rsidRPr="00DF08A6">
        <w:t xml:space="preserve">Providing </w:t>
      </w:r>
      <w:proofErr w:type="gramStart"/>
      <w:r w:rsidRPr="00DF08A6">
        <w:t>a lasting legacy</w:t>
      </w:r>
      <w:proofErr w:type="gramEnd"/>
      <w:r w:rsidRPr="00DF08A6">
        <w:t xml:space="preserve"> to CMPH through building successful teaching and/or research programs.</w:t>
      </w:r>
    </w:p>
    <w:p w14:paraId="7FD7CA7C" w14:textId="77777777" w:rsidR="00FD4532" w:rsidRDefault="00FD4532" w:rsidP="00FD4532"/>
    <w:p w14:paraId="3E43EFA4" w14:textId="6248043F" w:rsidR="00BE6145" w:rsidRDefault="00730B90" w:rsidP="00FD4532">
      <w:pPr>
        <w:pStyle w:val="Heading2"/>
      </w:pPr>
      <w:r w:rsidRPr="00DF08A6">
        <w:t>VPED Service Award</w:t>
      </w:r>
    </w:p>
    <w:p w14:paraId="6322C9BB" w14:textId="77777777" w:rsidR="00BE6145" w:rsidRPr="00DF08A6" w:rsidRDefault="00BE6145" w:rsidP="00DF08A6"/>
    <w:p w14:paraId="48A1E5AC" w14:textId="6A194DD6" w:rsidR="00BE6145" w:rsidRDefault="00730B90" w:rsidP="00DF08A6">
      <w:r w:rsidRPr="00DF08A6">
        <w:t xml:space="preserve">Designed to recognise the significant contributions of staff that may not be recognised in other ways, </w:t>
      </w:r>
      <w:r w:rsidRPr="00C8003E">
        <w:rPr>
          <w:i/>
          <w:iCs/>
        </w:rPr>
        <w:t xml:space="preserve">up to two </w:t>
      </w:r>
      <w:r w:rsidRPr="00DF08A6">
        <w:t xml:space="preserve">individual awards will be presented to acknowledge outstanding service and significant contributions to the College, particularly focused on developing culture, demonstrated leadership and team building. Both academic and professional staff are eligible for these awards. </w:t>
      </w:r>
      <w:r w:rsidRPr="00C8003E">
        <w:rPr>
          <w:i/>
          <w:iCs/>
        </w:rPr>
        <w:t>One or more</w:t>
      </w:r>
      <w:r w:rsidRPr="00DF08A6">
        <w:t xml:space="preserve"> of the following criteria should be addressed in a nomination (maximum </w:t>
      </w:r>
      <w:r w:rsidR="00C8003E">
        <w:t>one</w:t>
      </w:r>
      <w:r w:rsidRPr="00DF08A6">
        <w:t xml:space="preserve"> page):</w:t>
      </w:r>
    </w:p>
    <w:p w14:paraId="6B422EE7" w14:textId="77777777" w:rsidR="008336E7" w:rsidRPr="00DF08A6" w:rsidRDefault="008336E7" w:rsidP="00DF08A6"/>
    <w:p w14:paraId="05F4D00E" w14:textId="77777777" w:rsidR="00BE6145" w:rsidRPr="00DF08A6" w:rsidRDefault="00730B90" w:rsidP="008336E7">
      <w:pPr>
        <w:pStyle w:val="ListParagraph"/>
      </w:pPr>
      <w:r w:rsidRPr="00DF08A6">
        <w:t xml:space="preserve">Outstanding service to the College over an extended </w:t>
      </w:r>
      <w:proofErr w:type="gramStart"/>
      <w:r w:rsidRPr="00DF08A6">
        <w:t>period of time</w:t>
      </w:r>
      <w:proofErr w:type="gramEnd"/>
    </w:p>
    <w:p w14:paraId="1BDE5106" w14:textId="77777777" w:rsidR="00BE6145" w:rsidRPr="00DF08A6" w:rsidRDefault="00730B90" w:rsidP="008336E7">
      <w:pPr>
        <w:pStyle w:val="ListParagraph"/>
      </w:pPr>
      <w:r w:rsidRPr="00DF08A6">
        <w:t>Significant contribution to team building and leadership of people and teams within the College</w:t>
      </w:r>
    </w:p>
    <w:p w14:paraId="3AD725E7" w14:textId="77777777" w:rsidR="00BE6145" w:rsidRPr="00DF08A6" w:rsidRDefault="00730B90" w:rsidP="008336E7">
      <w:pPr>
        <w:pStyle w:val="ListParagraph"/>
      </w:pPr>
      <w:r w:rsidRPr="00DF08A6">
        <w:t>Significant contribution to enhancing the reputation and standing of the College</w:t>
      </w:r>
    </w:p>
    <w:p w14:paraId="6AD5D6C6" w14:textId="77777777" w:rsidR="00BE6145" w:rsidRPr="00DF08A6" w:rsidRDefault="00730B90" w:rsidP="008336E7">
      <w:pPr>
        <w:pStyle w:val="ListParagraph"/>
      </w:pPr>
      <w:r w:rsidRPr="00DF08A6">
        <w:t>Service to a discipline (</w:t>
      </w:r>
      <w:proofErr w:type="gramStart"/>
      <w:r w:rsidRPr="00DF08A6">
        <w:t>e.g.</w:t>
      </w:r>
      <w:proofErr w:type="gramEnd"/>
      <w:r w:rsidRPr="00DF08A6">
        <w:t xml:space="preserve"> conference organisation, society committees)</w:t>
      </w:r>
    </w:p>
    <w:p w14:paraId="289D4B30" w14:textId="77777777" w:rsidR="00BE6145" w:rsidRPr="00DF08A6" w:rsidRDefault="00730B90" w:rsidP="008336E7">
      <w:pPr>
        <w:pStyle w:val="ListParagraph"/>
      </w:pPr>
      <w:r w:rsidRPr="00DF08A6">
        <w:t>Community engagement (</w:t>
      </w:r>
      <w:proofErr w:type="gramStart"/>
      <w:r w:rsidRPr="00DF08A6">
        <w:t>e.g.</w:t>
      </w:r>
      <w:proofErr w:type="gramEnd"/>
      <w:r w:rsidRPr="00DF08A6">
        <w:t xml:space="preserve"> with stakeholders, government, outreach to school children)</w:t>
      </w:r>
    </w:p>
    <w:p w14:paraId="355A4196" w14:textId="77777777" w:rsidR="00BE6145" w:rsidRPr="00DF08A6" w:rsidRDefault="00730B90" w:rsidP="008336E7">
      <w:pPr>
        <w:pStyle w:val="ListParagraph"/>
      </w:pPr>
      <w:r w:rsidRPr="00DF08A6">
        <w:t>Communication (</w:t>
      </w:r>
      <w:proofErr w:type="gramStart"/>
      <w:r w:rsidRPr="00DF08A6">
        <w:t>e.g.</w:t>
      </w:r>
      <w:proofErr w:type="gramEnd"/>
      <w:r w:rsidRPr="00DF08A6">
        <w:t xml:space="preserve"> media engagement, social media).</w:t>
      </w:r>
    </w:p>
    <w:p w14:paraId="1A734BF7" w14:textId="77777777" w:rsidR="00BE6145" w:rsidRPr="00DF08A6" w:rsidRDefault="00BE6145" w:rsidP="00DF08A6"/>
    <w:p w14:paraId="394C51B9" w14:textId="5034AB60" w:rsidR="00BE6145" w:rsidRDefault="00730B90" w:rsidP="008336E7">
      <w:pPr>
        <w:pStyle w:val="Heading2"/>
      </w:pPr>
      <w:r w:rsidRPr="00DF08A6">
        <w:t>VPED Teaching Excellence Awards</w:t>
      </w:r>
    </w:p>
    <w:p w14:paraId="4111CCA5" w14:textId="77777777" w:rsidR="00BE6145" w:rsidRPr="00DF08A6" w:rsidRDefault="00BE6145" w:rsidP="00DF08A6"/>
    <w:p w14:paraId="62E4B4A6" w14:textId="0D9DFB7A" w:rsidR="00BE6145" w:rsidRPr="00DF08A6" w:rsidRDefault="00730B90" w:rsidP="00DF08A6">
      <w:r w:rsidRPr="00DF08A6">
        <w:t>The CMPH VPED Teaching Excellence Awards recognise and reward teaching excellence and innovation. Team and individual nominations are accepted. A nomination process for these awards was conducted earlier in 20</w:t>
      </w:r>
      <w:r w:rsidR="00C15428" w:rsidRPr="00DF08A6">
        <w:t>2</w:t>
      </w:r>
      <w:r w:rsidR="00A67498">
        <w:t>1</w:t>
      </w:r>
      <w:r w:rsidR="00C15428" w:rsidRPr="00DF08A6">
        <w:t xml:space="preserve"> </w:t>
      </w:r>
      <w:r w:rsidRPr="00DF08A6">
        <w:t>and recipients will be acknowledged at the College end-of-year function.</w:t>
      </w:r>
    </w:p>
    <w:p w14:paraId="7AF334EB" w14:textId="538354F0" w:rsidR="00BE6145" w:rsidRDefault="00BE6145" w:rsidP="00DF08A6"/>
    <w:p w14:paraId="5F421BCC" w14:textId="77777777" w:rsidR="00BE6145" w:rsidRPr="00DF08A6" w:rsidRDefault="00730B90" w:rsidP="008336E7">
      <w:pPr>
        <w:pStyle w:val="Heading2"/>
      </w:pPr>
      <w:r w:rsidRPr="00DF08A6">
        <w:t>VPED Award for Outstanding Supervision</w:t>
      </w:r>
    </w:p>
    <w:p w14:paraId="5C9D61DC" w14:textId="77777777" w:rsidR="00BE6145" w:rsidRPr="00DF08A6" w:rsidRDefault="00BE6145" w:rsidP="00DF08A6"/>
    <w:p w14:paraId="1CC01D39" w14:textId="3F1391AB" w:rsidR="00BE6145" w:rsidRPr="00DF08A6" w:rsidRDefault="00730B90" w:rsidP="00DF08A6">
      <w:r w:rsidRPr="00DF08A6">
        <w:t xml:space="preserve">This award acknowledges the outstanding contribution made by supervisors in the College, across a range of programs. Supervisors dedicate time to support, mentor and educate students and play an influential role in delivering a </w:t>
      </w:r>
      <w:r w:rsidR="00C15428" w:rsidRPr="00DF08A6">
        <w:t>high-quality</w:t>
      </w:r>
      <w:r w:rsidRPr="00DF08A6">
        <w:t xml:space="preserve"> student experience. Nominations are invited from students, </w:t>
      </w:r>
      <w:r w:rsidR="00C15428" w:rsidRPr="00DF08A6">
        <w:t>staff,</w:t>
      </w:r>
      <w:r w:rsidRPr="00DF08A6">
        <w:t xml:space="preserve"> and peers across the following categories of supervision:</w:t>
      </w:r>
    </w:p>
    <w:p w14:paraId="112DE78E" w14:textId="77777777" w:rsidR="00BE6145" w:rsidRPr="00DF08A6" w:rsidRDefault="00BE6145" w:rsidP="00DF08A6"/>
    <w:p w14:paraId="1FD10797" w14:textId="77777777" w:rsidR="00C15428" w:rsidRPr="00DF08A6" w:rsidRDefault="00730B90" w:rsidP="008336E7">
      <w:pPr>
        <w:pStyle w:val="ListParagraph"/>
      </w:pPr>
      <w:r w:rsidRPr="00DF08A6">
        <w:t>Outstanding HDR supervision</w:t>
      </w:r>
    </w:p>
    <w:p w14:paraId="60332F1D" w14:textId="653E3DAD" w:rsidR="00BE6145" w:rsidRPr="00DF08A6" w:rsidRDefault="00730B90" w:rsidP="008336E7">
      <w:pPr>
        <w:pStyle w:val="ListParagraph"/>
      </w:pPr>
      <w:r w:rsidRPr="00DF08A6">
        <w:t>Outstanding Honours supervision</w:t>
      </w:r>
    </w:p>
    <w:p w14:paraId="26A3447A" w14:textId="77777777" w:rsidR="00BE6145" w:rsidRPr="00DF08A6" w:rsidRDefault="00730B90" w:rsidP="008336E7">
      <w:pPr>
        <w:pStyle w:val="ListParagraph"/>
      </w:pPr>
      <w:r w:rsidRPr="00DF08A6">
        <w:t>Outstanding Advanced Studies supervision</w:t>
      </w:r>
    </w:p>
    <w:p w14:paraId="6086C719" w14:textId="77777777" w:rsidR="00BE6145" w:rsidRPr="00DF08A6" w:rsidRDefault="00730B90" w:rsidP="008336E7">
      <w:pPr>
        <w:pStyle w:val="ListParagraph"/>
      </w:pPr>
      <w:r w:rsidRPr="00DF08A6">
        <w:t>Outstanding Clinical Placement supervision.</w:t>
      </w:r>
    </w:p>
    <w:p w14:paraId="2D90EE90" w14:textId="77777777" w:rsidR="00BE6145" w:rsidRPr="00DF08A6" w:rsidRDefault="00BE6145" w:rsidP="00DF08A6"/>
    <w:p w14:paraId="2C1CD40B" w14:textId="6B94C4B2" w:rsidR="00BE6145" w:rsidRPr="00DF08A6" w:rsidRDefault="00730B90" w:rsidP="00DF08A6">
      <w:r w:rsidRPr="00DF08A6">
        <w:t>Please ensure you indicate which category your nomination refers to in the supporting statement (</w:t>
      </w:r>
      <w:r w:rsidR="00C8003E">
        <w:t>maximum one page).</w:t>
      </w:r>
    </w:p>
    <w:p w14:paraId="07411DFB" w14:textId="6827D3BD" w:rsidR="00F14E1D" w:rsidRPr="00DF08A6" w:rsidRDefault="00F14E1D" w:rsidP="00DF08A6"/>
    <w:p w14:paraId="5AF2E448" w14:textId="6E9777B6" w:rsidR="00F14E1D" w:rsidRPr="00DF08A6" w:rsidRDefault="009B319B" w:rsidP="008336E7">
      <w:pPr>
        <w:pStyle w:val="Heading2"/>
      </w:pPr>
      <w:r w:rsidRPr="00DF08A6">
        <w:t xml:space="preserve">CMPH </w:t>
      </w:r>
      <w:r w:rsidR="00F14E1D" w:rsidRPr="00DF08A6">
        <w:t>Reconciliation Award</w:t>
      </w:r>
    </w:p>
    <w:p w14:paraId="0D1D39BB" w14:textId="77777777" w:rsidR="009B319B" w:rsidRPr="00DF08A6" w:rsidRDefault="009B319B" w:rsidP="00DF08A6"/>
    <w:p w14:paraId="7E0BFA73" w14:textId="23B746B8" w:rsidR="009B319B" w:rsidRPr="00DF08A6" w:rsidRDefault="009B319B" w:rsidP="00DF08A6">
      <w:r w:rsidRPr="00DF08A6">
        <w:t xml:space="preserve">The CMPH Reconciliation Award recognises the outstanding efforts of individual staff and/or teams in leading activities or projects that promote reconciliation and positive race relations. The Reconciliation Award is open to all staff across the College, including academic and professional staff, and nominations are welcome across the breadth of </w:t>
      </w:r>
      <w:proofErr w:type="gramStart"/>
      <w:r w:rsidRPr="00DF08A6">
        <w:t>College</w:t>
      </w:r>
      <w:proofErr w:type="gramEnd"/>
      <w:r w:rsidRPr="00DF08A6">
        <w:t xml:space="preserve"> activities (i.e. work being undertaken across research, education, </w:t>
      </w:r>
      <w:r w:rsidR="00A101DE" w:rsidRPr="00DF08A6">
        <w:t>service,</w:t>
      </w:r>
      <w:r w:rsidRPr="00DF08A6">
        <w:t xml:space="preserve"> or other projects). </w:t>
      </w:r>
    </w:p>
    <w:p w14:paraId="69D7AA27" w14:textId="77777777" w:rsidR="009B319B" w:rsidRPr="00DF08A6" w:rsidRDefault="009B319B" w:rsidP="00DF08A6"/>
    <w:p w14:paraId="2C94140D" w14:textId="77777777" w:rsidR="009B319B" w:rsidRPr="00DF08A6" w:rsidRDefault="009B319B" w:rsidP="00DF08A6">
      <w:r w:rsidRPr="00DF08A6">
        <w:t xml:space="preserve">The </w:t>
      </w:r>
      <w:hyperlink r:id="rId8" w:history="1">
        <w:r w:rsidRPr="00DF08A6">
          <w:rPr>
            <w:rStyle w:val="Hyperlink"/>
          </w:rPr>
          <w:t>Innovate Reconciliation Action Plan</w:t>
        </w:r>
      </w:hyperlink>
      <w:r w:rsidRPr="00DF08A6">
        <w:t xml:space="preserve"> (RAP) is part of the University’s ongoing work to increase Aboriginal and Torres Strait Islander participation, retention and success in higher education and provides a critical framework for the Flinders University Community to commit to reconciliation as part of everyday practice.</w:t>
      </w:r>
    </w:p>
    <w:p w14:paraId="47D1FD61" w14:textId="11A77DAD" w:rsidR="009B319B" w:rsidRPr="00DF08A6" w:rsidRDefault="009B319B" w:rsidP="00DF08A6">
      <w:r w:rsidRPr="00C8003E">
        <w:rPr>
          <w:i/>
          <w:iCs/>
          <w:u w:val="single"/>
        </w:rPr>
        <w:t>Up to two</w:t>
      </w:r>
      <w:r w:rsidRPr="00C8003E">
        <w:rPr>
          <w:i/>
          <w:iCs/>
        </w:rPr>
        <w:t xml:space="preserve"> </w:t>
      </w:r>
      <w:r w:rsidRPr="00DF08A6">
        <w:t xml:space="preserve">awards will be presented. Nominations should specify the alignment of activities to </w:t>
      </w:r>
      <w:r w:rsidRPr="00C8003E">
        <w:rPr>
          <w:i/>
          <w:iCs/>
        </w:rPr>
        <w:t>at least one</w:t>
      </w:r>
      <w:r w:rsidRPr="00DF08A6">
        <w:t xml:space="preserve"> of the 16 actions articulated in the Innovate RAP, and address </w:t>
      </w:r>
      <w:r w:rsidRPr="00C8003E">
        <w:rPr>
          <w:i/>
          <w:iCs/>
        </w:rPr>
        <w:t>one or more</w:t>
      </w:r>
      <w:r w:rsidRPr="00DF08A6">
        <w:t xml:space="preserve"> of the following criteria:</w:t>
      </w:r>
    </w:p>
    <w:p w14:paraId="618D11B7" w14:textId="77777777" w:rsidR="009B319B" w:rsidRPr="00DF08A6" w:rsidRDefault="009B319B" w:rsidP="00DF08A6"/>
    <w:p w14:paraId="5DF25717" w14:textId="77777777" w:rsidR="009B319B" w:rsidRPr="00DF08A6" w:rsidRDefault="009B319B" w:rsidP="008336E7">
      <w:pPr>
        <w:pStyle w:val="ListParagraph"/>
      </w:pPr>
      <w:r w:rsidRPr="00DF08A6">
        <w:t>Increasing Aboriginal and Torres Strait Islander participation, retention, and success in higher education</w:t>
      </w:r>
    </w:p>
    <w:p w14:paraId="3503F9ED" w14:textId="77777777" w:rsidR="009B319B" w:rsidRPr="00DF08A6" w:rsidRDefault="009B319B" w:rsidP="008336E7">
      <w:pPr>
        <w:pStyle w:val="ListParagraph"/>
      </w:pPr>
      <w:r w:rsidRPr="00DF08A6">
        <w:t>Increasing levels of economic and social participation for Aboriginal and Torres Strait Islander people and their communities</w:t>
      </w:r>
    </w:p>
    <w:p w14:paraId="7497DA80" w14:textId="77777777" w:rsidR="009B319B" w:rsidRPr="00DF08A6" w:rsidRDefault="009B319B" w:rsidP="008336E7">
      <w:pPr>
        <w:pStyle w:val="ListParagraph"/>
      </w:pPr>
      <w:r w:rsidRPr="00DF08A6">
        <w:t>Increasing cultural competence for all staff and students</w:t>
      </w:r>
    </w:p>
    <w:p w14:paraId="00A665CD" w14:textId="77777777" w:rsidR="009B319B" w:rsidRPr="00DF08A6" w:rsidRDefault="009B319B" w:rsidP="008336E7">
      <w:pPr>
        <w:pStyle w:val="ListParagraph"/>
      </w:pPr>
      <w:r w:rsidRPr="00DF08A6">
        <w:t xml:space="preserve">Creating a culturally inclusive environment </w:t>
      </w:r>
    </w:p>
    <w:p w14:paraId="0A9C2259" w14:textId="3BF72282" w:rsidR="009B319B" w:rsidRPr="00DF08A6" w:rsidRDefault="009B319B" w:rsidP="008336E7">
      <w:pPr>
        <w:pStyle w:val="ListParagraph"/>
      </w:pPr>
      <w:r w:rsidRPr="00DF08A6">
        <w:t>Research engagement with Aboriginal and Torres Strait Islander communities, which follows NH</w:t>
      </w:r>
      <w:r w:rsidR="008E03EA">
        <w:t>MR</w:t>
      </w:r>
      <w:r w:rsidRPr="00DF08A6">
        <w:t>C best practice guidelines</w:t>
      </w:r>
    </w:p>
    <w:p w14:paraId="22DE5EA4" w14:textId="77777777" w:rsidR="009B319B" w:rsidRPr="00DF08A6" w:rsidRDefault="009B319B" w:rsidP="008336E7">
      <w:pPr>
        <w:pStyle w:val="ListParagraph"/>
      </w:pPr>
      <w:r w:rsidRPr="00DF08A6">
        <w:t>Research which engages with Indigenous knowledges (knowing, being and doing) and Aboriginal and Torres Strait Islander community partners</w:t>
      </w:r>
    </w:p>
    <w:p w14:paraId="47E1824C" w14:textId="519DE7C2" w:rsidR="009B319B" w:rsidRPr="00DF08A6" w:rsidRDefault="009B319B" w:rsidP="008336E7">
      <w:pPr>
        <w:pStyle w:val="ListParagraph"/>
      </w:pPr>
      <w:r w:rsidRPr="00DF08A6">
        <w:t xml:space="preserve">Increasing respectful recognition, knowledge and awareness of Aboriginal and Torres Strait Islander cultures, </w:t>
      </w:r>
      <w:r w:rsidR="00A101DE" w:rsidRPr="00DF08A6">
        <w:t>histories,</w:t>
      </w:r>
      <w:r w:rsidRPr="00DF08A6">
        <w:t xml:space="preserve"> and contributions. </w:t>
      </w:r>
    </w:p>
    <w:p w14:paraId="59CC50CA" w14:textId="0E444CD2" w:rsidR="009B319B" w:rsidRPr="00DF08A6" w:rsidRDefault="009B319B" w:rsidP="00DF08A6"/>
    <w:p w14:paraId="11216FCF" w14:textId="589854E3" w:rsidR="009B319B" w:rsidRPr="00DF08A6" w:rsidRDefault="008336E7" w:rsidP="008336E7">
      <w:pPr>
        <w:pStyle w:val="Heading2"/>
      </w:pPr>
      <w:r>
        <w:t xml:space="preserve">CMPH </w:t>
      </w:r>
      <w:r w:rsidR="009B319B" w:rsidRPr="00DF08A6">
        <w:t>Social Accountability Award</w:t>
      </w:r>
    </w:p>
    <w:p w14:paraId="07CCAC2D" w14:textId="3489317E" w:rsidR="009B319B" w:rsidRPr="00DF08A6" w:rsidRDefault="009B319B" w:rsidP="00DF08A6"/>
    <w:p w14:paraId="51F5DDDD" w14:textId="6A238DCF" w:rsidR="009B319B" w:rsidRPr="00DF08A6" w:rsidRDefault="009B319B" w:rsidP="00DF08A6">
      <w:r w:rsidRPr="00DF08A6">
        <w:t xml:space="preserve">The CMPH Social Accountability Award celebrates and recognises the efforts of individual staff and/or teams working to advance the College’s commitment to social </w:t>
      </w:r>
      <w:proofErr w:type="gramStart"/>
      <w:r w:rsidRPr="00DF08A6">
        <w:t>accountability, and</w:t>
      </w:r>
      <w:proofErr w:type="gramEnd"/>
      <w:r w:rsidRPr="00DF08A6">
        <w:t xml:space="preserve"> improving the health equity and well-being of the communities served by the College through research, teaching, professional services and/or community roles. </w:t>
      </w:r>
      <w:r w:rsidR="00A101DE" w:rsidRPr="00DF08A6">
        <w:t xml:space="preserve">This award is open to all staff across the College, including academic and professional staff, and nominations are welcome across the breadth of </w:t>
      </w:r>
      <w:proofErr w:type="gramStart"/>
      <w:r w:rsidR="00A101DE" w:rsidRPr="00DF08A6">
        <w:t>College</w:t>
      </w:r>
      <w:proofErr w:type="gramEnd"/>
      <w:r w:rsidR="00A101DE" w:rsidRPr="00DF08A6">
        <w:t xml:space="preserve"> activities (i.e. work being undertaken across research, education, </w:t>
      </w:r>
      <w:r w:rsidR="00D5477E" w:rsidRPr="00DF08A6">
        <w:t>service,</w:t>
      </w:r>
      <w:r w:rsidR="00A101DE" w:rsidRPr="00DF08A6">
        <w:t xml:space="preserve"> or other projects).</w:t>
      </w:r>
    </w:p>
    <w:p w14:paraId="604D44DE" w14:textId="77777777" w:rsidR="009B319B" w:rsidRPr="00DF08A6" w:rsidRDefault="009B319B" w:rsidP="00DF08A6"/>
    <w:p w14:paraId="63D60EA7" w14:textId="74670E8D" w:rsidR="00A101DE" w:rsidRPr="00DF08A6" w:rsidRDefault="009B319B" w:rsidP="00DF08A6">
      <w:r w:rsidRPr="008336E7">
        <w:rPr>
          <w:i/>
          <w:iCs/>
          <w:u w:val="single"/>
        </w:rPr>
        <w:t>Up to two</w:t>
      </w:r>
      <w:r w:rsidRPr="00DF08A6">
        <w:t xml:space="preserve"> awards will be presented. Nominations should</w:t>
      </w:r>
      <w:r w:rsidR="00A101DE" w:rsidRPr="00DF08A6">
        <w:t>:</w:t>
      </w:r>
    </w:p>
    <w:p w14:paraId="54046A46" w14:textId="77777777" w:rsidR="009B319B" w:rsidRPr="00DF08A6" w:rsidRDefault="009B319B" w:rsidP="00DF08A6"/>
    <w:p w14:paraId="486DD0F4" w14:textId="19256790" w:rsidR="009B319B" w:rsidRPr="00DF08A6" w:rsidRDefault="00A101DE" w:rsidP="008336E7">
      <w:pPr>
        <w:pStyle w:val="ListParagraph"/>
      </w:pPr>
      <w:r w:rsidRPr="00DF08A6">
        <w:t>Provide a d</w:t>
      </w:r>
      <w:r w:rsidR="009B319B" w:rsidRPr="00DF08A6">
        <w:t>escription of</w:t>
      </w:r>
      <w:r w:rsidRPr="00DF08A6">
        <w:t xml:space="preserve"> the activities</w:t>
      </w:r>
      <w:r w:rsidR="00C8003E">
        <w:t xml:space="preserve">, </w:t>
      </w:r>
      <w:r w:rsidRPr="00DF08A6">
        <w:t>strategy</w:t>
      </w:r>
      <w:r w:rsidR="00C8003E">
        <w:t xml:space="preserve"> or approach taken</w:t>
      </w:r>
      <w:r w:rsidRPr="00DF08A6">
        <w:t xml:space="preserve"> </w:t>
      </w:r>
      <w:r w:rsidR="009B319B" w:rsidRPr="00DF08A6">
        <w:t>that advances the C</w:t>
      </w:r>
      <w:r w:rsidRPr="00DF08A6">
        <w:t xml:space="preserve">ollege’s vision and commitment to social accountability </w:t>
      </w:r>
      <w:r w:rsidR="009B319B" w:rsidRPr="00DF08A6">
        <w:t>in research, education</w:t>
      </w:r>
      <w:r w:rsidRPr="00DF08A6">
        <w:t>,</w:t>
      </w:r>
      <w:r w:rsidR="009B319B" w:rsidRPr="00DF08A6">
        <w:t xml:space="preserve"> professional service</w:t>
      </w:r>
      <w:r w:rsidRPr="00DF08A6">
        <w:t xml:space="preserve"> or other</w:t>
      </w:r>
    </w:p>
    <w:p w14:paraId="37F5EC18" w14:textId="3D7B3765" w:rsidR="009B319B" w:rsidRPr="00DF08A6" w:rsidRDefault="009B319B" w:rsidP="008336E7">
      <w:pPr>
        <w:pStyle w:val="ListParagraph"/>
      </w:pPr>
      <w:r w:rsidRPr="00DF08A6">
        <w:t xml:space="preserve">Document the role of the nominee(s) in the conception, </w:t>
      </w:r>
      <w:proofErr w:type="gramStart"/>
      <w:r w:rsidRPr="00DF08A6">
        <w:t>planning</w:t>
      </w:r>
      <w:proofErr w:type="gramEnd"/>
      <w:r w:rsidRPr="00DF08A6">
        <w:t xml:space="preserve"> and implementation </w:t>
      </w:r>
      <w:r w:rsidR="00A101DE" w:rsidRPr="00DF08A6">
        <w:t>of activities</w:t>
      </w:r>
    </w:p>
    <w:p w14:paraId="706F2B2F" w14:textId="48C1B70A" w:rsidR="009B319B" w:rsidRDefault="009B319B" w:rsidP="008336E7">
      <w:pPr>
        <w:pStyle w:val="ListParagraph"/>
      </w:pPr>
      <w:r w:rsidRPr="00DF08A6">
        <w:t xml:space="preserve">Provide clear evidence of the impact on progress </w:t>
      </w:r>
      <w:r w:rsidR="00A101DE" w:rsidRPr="00DF08A6">
        <w:t>toward social accountability,</w:t>
      </w:r>
      <w:r w:rsidRPr="00DF08A6">
        <w:t xml:space="preserve"> health equity and well-being</w:t>
      </w:r>
    </w:p>
    <w:p w14:paraId="4A97CA5B" w14:textId="64F85AA1" w:rsidR="00C8003E" w:rsidRPr="00DF08A6" w:rsidRDefault="00C8003E" w:rsidP="008336E7">
      <w:pPr>
        <w:pStyle w:val="ListParagraph"/>
      </w:pPr>
      <w:r>
        <w:t xml:space="preserve">Provide information on the likely sustainability of the approach taken and enablers for future success. </w:t>
      </w:r>
    </w:p>
    <w:p w14:paraId="2BEA8C01" w14:textId="77777777" w:rsidR="00BE6145" w:rsidRPr="00DF08A6" w:rsidRDefault="00BE6145" w:rsidP="00DF08A6"/>
    <w:p w14:paraId="24A86647" w14:textId="5C8C3EEB" w:rsidR="008336E7" w:rsidRPr="00FD4532" w:rsidRDefault="00730B90" w:rsidP="00C8003E">
      <w:pPr>
        <w:pStyle w:val="Heading1"/>
        <w:numPr>
          <w:ilvl w:val="0"/>
          <w:numId w:val="0"/>
        </w:numPr>
        <w:rPr>
          <w:color w:val="548DD4" w:themeColor="text2" w:themeTint="99"/>
          <w:u w:val="single"/>
        </w:rPr>
      </w:pPr>
      <w:r w:rsidRPr="00FD4532">
        <w:rPr>
          <w:color w:val="548DD4" w:themeColor="text2" w:themeTint="99"/>
          <w:u w:val="single"/>
        </w:rPr>
        <w:t>Student Award</w:t>
      </w:r>
      <w:r w:rsidR="00FD4532">
        <w:rPr>
          <w:color w:val="548DD4" w:themeColor="text2" w:themeTint="99"/>
          <w:u w:val="single"/>
        </w:rPr>
        <w:t>s</w:t>
      </w:r>
    </w:p>
    <w:p w14:paraId="590588F8" w14:textId="77777777" w:rsidR="008336E7" w:rsidRDefault="008336E7" w:rsidP="008336E7">
      <w:pPr>
        <w:pStyle w:val="Heading1"/>
        <w:numPr>
          <w:ilvl w:val="0"/>
          <w:numId w:val="0"/>
        </w:numPr>
      </w:pPr>
    </w:p>
    <w:p w14:paraId="6009CCC4" w14:textId="362232D9" w:rsidR="00BE6145" w:rsidRPr="00DF08A6" w:rsidRDefault="00730B90" w:rsidP="008336E7">
      <w:pPr>
        <w:pStyle w:val="Heading2"/>
      </w:pPr>
      <w:r w:rsidRPr="00DF08A6">
        <w:t xml:space="preserve">PhD Award (final year PhD student up to </w:t>
      </w:r>
      <w:r w:rsidR="00C15428" w:rsidRPr="00DF08A6">
        <w:t>12</w:t>
      </w:r>
      <w:r w:rsidRPr="00DF08A6">
        <w:t xml:space="preserve"> months post-doc)</w:t>
      </w:r>
    </w:p>
    <w:p w14:paraId="1747A03A" w14:textId="77777777" w:rsidR="00BE6145" w:rsidRPr="00DF08A6" w:rsidRDefault="00BE6145" w:rsidP="00DF08A6"/>
    <w:p w14:paraId="31DA9EEC" w14:textId="53858C9E" w:rsidR="00BE6145" w:rsidRDefault="00730B90" w:rsidP="00DF08A6">
      <w:r w:rsidRPr="00DF08A6">
        <w:t xml:space="preserve">The PhD Awards </w:t>
      </w:r>
      <w:r w:rsidRPr="00C8003E">
        <w:rPr>
          <w:i/>
          <w:iCs/>
        </w:rPr>
        <w:t xml:space="preserve">(up to </w:t>
      </w:r>
      <w:r w:rsidR="00707892">
        <w:rPr>
          <w:i/>
          <w:iCs/>
        </w:rPr>
        <w:t>three</w:t>
      </w:r>
      <w:r w:rsidR="00707892" w:rsidRPr="00C8003E">
        <w:rPr>
          <w:i/>
          <w:iCs/>
        </w:rPr>
        <w:t xml:space="preserve"> </w:t>
      </w:r>
      <w:r w:rsidRPr="00C8003E">
        <w:rPr>
          <w:i/>
          <w:iCs/>
        </w:rPr>
        <w:t>in total)</w:t>
      </w:r>
      <w:r w:rsidRPr="00DF08A6">
        <w:t xml:space="preserve"> will be awarded to recognise excellence. The awardees will have demonstrated excellence in </w:t>
      </w:r>
      <w:r w:rsidRPr="00C8003E">
        <w:rPr>
          <w:i/>
          <w:iCs/>
        </w:rPr>
        <w:t>at least one</w:t>
      </w:r>
      <w:r w:rsidRPr="00DF08A6">
        <w:t xml:space="preserve"> of the following categories </w:t>
      </w:r>
      <w:r w:rsidRPr="00C8003E">
        <w:rPr>
          <w:i/>
          <w:iCs/>
          <w:u w:val="single"/>
        </w:rPr>
        <w:t>in the last year</w:t>
      </w:r>
      <w:r w:rsidRPr="00DF08A6">
        <w:t>:</w:t>
      </w:r>
    </w:p>
    <w:p w14:paraId="620457E0" w14:textId="77777777" w:rsidR="008336E7" w:rsidRPr="00DF08A6" w:rsidRDefault="008336E7" w:rsidP="00DF08A6"/>
    <w:p w14:paraId="2B0F9303" w14:textId="77777777" w:rsidR="00BE6145" w:rsidRPr="00DF08A6" w:rsidRDefault="00730B90" w:rsidP="008336E7">
      <w:pPr>
        <w:pStyle w:val="ListParagraph"/>
      </w:pPr>
      <w:r w:rsidRPr="00DF08A6">
        <w:t>Publications (include a complete citation and sentence for each describing the standing within the field and significance of the publication)</w:t>
      </w:r>
    </w:p>
    <w:p w14:paraId="0F879450" w14:textId="77777777" w:rsidR="00BE6145" w:rsidRPr="00DF08A6" w:rsidRDefault="00730B90" w:rsidP="008336E7">
      <w:pPr>
        <w:pStyle w:val="ListParagraph"/>
      </w:pPr>
      <w:r w:rsidRPr="00DF08A6">
        <w:t>External/University awards (</w:t>
      </w:r>
      <w:proofErr w:type="gramStart"/>
      <w:r w:rsidRPr="00DF08A6">
        <w:t>e.g.</w:t>
      </w:r>
      <w:proofErr w:type="gramEnd"/>
      <w:r w:rsidRPr="00DF08A6">
        <w:t xml:space="preserve"> poster and oral presentation awards at conferences, Vice Chancellor Doctoral thesis excellence award; list awards and source)</w:t>
      </w:r>
    </w:p>
    <w:p w14:paraId="5F5179B5" w14:textId="77777777" w:rsidR="00BE6145" w:rsidRPr="00DF08A6" w:rsidRDefault="00730B90" w:rsidP="008336E7">
      <w:pPr>
        <w:pStyle w:val="ListParagraph"/>
      </w:pPr>
      <w:r w:rsidRPr="00DF08A6">
        <w:t>Service to the discipline, mentoring/tutoring, outreach (up to 300 words).</w:t>
      </w:r>
    </w:p>
    <w:p w14:paraId="53B6FAE1" w14:textId="77777777" w:rsidR="00BE6145" w:rsidRPr="00DF08A6" w:rsidRDefault="00BE6145" w:rsidP="00DF08A6"/>
    <w:p w14:paraId="59C15461" w14:textId="290487C6" w:rsidR="00BE6145" w:rsidRDefault="00730B90" w:rsidP="008336E7">
      <w:pPr>
        <w:pStyle w:val="Heading2"/>
      </w:pPr>
      <w:r w:rsidRPr="00DF08A6">
        <w:t>Honours Prize</w:t>
      </w:r>
    </w:p>
    <w:p w14:paraId="184D106D" w14:textId="77777777" w:rsidR="00F56562" w:rsidRDefault="00F56562" w:rsidP="00DF08A6"/>
    <w:p w14:paraId="2DD97499" w14:textId="3414AD67" w:rsidR="008336E7" w:rsidRPr="00DF08A6" w:rsidRDefault="002522BC" w:rsidP="00DF08A6">
      <w:r w:rsidRPr="00DF08A6">
        <w:t xml:space="preserve">The </w:t>
      </w:r>
      <w:r>
        <w:t>Honours</w:t>
      </w:r>
      <w:r w:rsidRPr="00DF08A6">
        <w:t xml:space="preserve"> Awards </w:t>
      </w:r>
      <w:r w:rsidRPr="00C8003E">
        <w:rPr>
          <w:i/>
          <w:iCs/>
        </w:rPr>
        <w:t xml:space="preserve">(up to </w:t>
      </w:r>
      <w:r>
        <w:rPr>
          <w:i/>
          <w:iCs/>
        </w:rPr>
        <w:t>two</w:t>
      </w:r>
      <w:r w:rsidRPr="00C8003E">
        <w:rPr>
          <w:i/>
          <w:iCs/>
        </w:rPr>
        <w:t xml:space="preserve"> in total)</w:t>
      </w:r>
      <w:r w:rsidRPr="00DF08A6">
        <w:t xml:space="preserve"> will be awarded to recognise excellence.</w:t>
      </w:r>
    </w:p>
    <w:p w14:paraId="67564B02" w14:textId="77777777" w:rsidR="002522BC" w:rsidRDefault="002522BC" w:rsidP="00DF08A6"/>
    <w:p w14:paraId="3E7E3FA8" w14:textId="4BA41D14" w:rsidR="002522BC" w:rsidRDefault="002522BC" w:rsidP="001F6448">
      <w:r>
        <w:t>One</w:t>
      </w:r>
      <w:r w:rsidR="00BC2159">
        <w:t xml:space="preserve"> Honours Prize will be awarded</w:t>
      </w:r>
      <w:r>
        <w:t xml:space="preserve"> </w:t>
      </w:r>
      <w:r w:rsidRPr="00DF08A6">
        <w:t>to the top ranked Honours student based on the final academic results presented to the exam board.</w:t>
      </w:r>
    </w:p>
    <w:p w14:paraId="4B8C9A23" w14:textId="77777777" w:rsidR="002522BC" w:rsidRDefault="002522BC" w:rsidP="00DF08A6"/>
    <w:p w14:paraId="29A9BAC5" w14:textId="62EBE85E" w:rsidR="00BC2159" w:rsidRPr="001F6448" w:rsidRDefault="002522BC" w:rsidP="00DF08A6">
      <w:pPr>
        <w:rPr>
          <w:i/>
          <w:iCs/>
        </w:rPr>
      </w:pPr>
      <w:r>
        <w:t>One prize will be awarded</w:t>
      </w:r>
      <w:r w:rsidR="00BC2159">
        <w:t xml:space="preserve"> to recognise excellence. The awardees will have demonstrated excellence in </w:t>
      </w:r>
      <w:r w:rsidR="00BC2159">
        <w:rPr>
          <w:i/>
          <w:iCs/>
        </w:rPr>
        <w:t>at least one</w:t>
      </w:r>
      <w:r w:rsidR="00BC2159">
        <w:t xml:space="preserve"> of the following categories </w:t>
      </w:r>
      <w:r w:rsidR="00BC2159" w:rsidRPr="001F6448">
        <w:rPr>
          <w:i/>
          <w:iCs/>
          <w:u w:val="single"/>
        </w:rPr>
        <w:t>in the last year:</w:t>
      </w:r>
    </w:p>
    <w:p w14:paraId="0D022209" w14:textId="77777777" w:rsidR="00BC2159" w:rsidRDefault="00BC2159" w:rsidP="00DF08A6"/>
    <w:p w14:paraId="7D452828" w14:textId="5C9529EB" w:rsidR="00BC2159" w:rsidRDefault="00BC2159" w:rsidP="001F6448">
      <w:pPr>
        <w:pStyle w:val="ListParagraph"/>
        <w:numPr>
          <w:ilvl w:val="0"/>
          <w:numId w:val="18"/>
        </w:numPr>
      </w:pPr>
      <w:r>
        <w:t xml:space="preserve">Service to the discipline (honours program or </w:t>
      </w:r>
      <w:r w:rsidR="002522BC">
        <w:t xml:space="preserve">research </w:t>
      </w:r>
      <w:r>
        <w:t>field) and</w:t>
      </w:r>
      <w:r w:rsidR="002522BC">
        <w:t>/or</w:t>
      </w:r>
      <w:r>
        <w:t xml:space="preserve"> outreach (up to 300 words).</w:t>
      </w:r>
    </w:p>
    <w:p w14:paraId="10705D57" w14:textId="7DE2FC00" w:rsidR="0055514D" w:rsidRDefault="0055514D">
      <w:pPr>
        <w:pStyle w:val="ListParagraph"/>
        <w:numPr>
          <w:ilvl w:val="0"/>
          <w:numId w:val="18"/>
        </w:numPr>
      </w:pPr>
      <w:r>
        <w:t>External/University engagement or awards (</w:t>
      </w:r>
      <w:proofErr w:type="gramStart"/>
      <w:r>
        <w:t>e.g.</w:t>
      </w:r>
      <w:proofErr w:type="gramEnd"/>
      <w:r>
        <w:t xml:space="preserve"> poster and oral presentation awards at conferences; list award and source).</w:t>
      </w:r>
    </w:p>
    <w:p w14:paraId="29600C85" w14:textId="11B3410F" w:rsidR="002522BC" w:rsidRPr="00DF08A6" w:rsidRDefault="002522BC" w:rsidP="001F6448">
      <w:pPr>
        <w:pStyle w:val="ListParagraph"/>
        <w:numPr>
          <w:ilvl w:val="0"/>
          <w:numId w:val="18"/>
        </w:numPr>
      </w:pPr>
      <w:r w:rsidRPr="00DF08A6">
        <w:t>Publications (include a complete citation and sentence for each describing the standing within the field and significance of the publication)</w:t>
      </w:r>
    </w:p>
    <w:sectPr w:rsidR="002522BC" w:rsidRPr="00DF08A6" w:rsidSect="00FD4532">
      <w:headerReference w:type="default" r:id="rId9"/>
      <w:footerReference w:type="default" r:id="rId10"/>
      <w:pgSz w:w="11910" w:h="16840"/>
      <w:pgMar w:top="1440" w:right="1440" w:bottom="1440" w:left="1440" w:header="0" w:footer="9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0B5F" w14:textId="77777777" w:rsidR="007B12E8" w:rsidRDefault="007B12E8">
      <w:r>
        <w:separator/>
      </w:r>
    </w:p>
  </w:endnote>
  <w:endnote w:type="continuationSeparator" w:id="0">
    <w:p w14:paraId="47809C8B" w14:textId="77777777" w:rsidR="007B12E8" w:rsidRDefault="007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31780"/>
      <w:docPartObj>
        <w:docPartGallery w:val="Page Numbers (Bottom of Page)"/>
        <w:docPartUnique/>
      </w:docPartObj>
    </w:sdtPr>
    <w:sdtEndPr>
      <w:rPr>
        <w:noProof/>
        <w:sz w:val="20"/>
        <w:szCs w:val="20"/>
      </w:rPr>
    </w:sdtEndPr>
    <w:sdtContent>
      <w:p w14:paraId="2E34DCF0" w14:textId="2AB15EC1" w:rsidR="00D5477E" w:rsidRPr="00D5477E" w:rsidRDefault="00D5477E">
        <w:pPr>
          <w:pStyle w:val="Footer"/>
          <w:jc w:val="right"/>
          <w:rPr>
            <w:sz w:val="20"/>
            <w:szCs w:val="20"/>
          </w:rPr>
        </w:pPr>
        <w:r w:rsidRPr="00D5477E">
          <w:rPr>
            <w:sz w:val="20"/>
            <w:szCs w:val="20"/>
          </w:rPr>
          <w:fldChar w:fldCharType="begin"/>
        </w:r>
        <w:r w:rsidRPr="00D5477E">
          <w:rPr>
            <w:sz w:val="20"/>
            <w:szCs w:val="20"/>
          </w:rPr>
          <w:instrText xml:space="preserve"> PAGE   \* MERGEFORMAT </w:instrText>
        </w:r>
        <w:r w:rsidRPr="00D5477E">
          <w:rPr>
            <w:sz w:val="20"/>
            <w:szCs w:val="20"/>
          </w:rPr>
          <w:fldChar w:fldCharType="separate"/>
        </w:r>
        <w:r w:rsidRPr="00D5477E">
          <w:rPr>
            <w:noProof/>
            <w:sz w:val="20"/>
            <w:szCs w:val="20"/>
          </w:rPr>
          <w:t>2</w:t>
        </w:r>
        <w:r w:rsidRPr="00D5477E">
          <w:rPr>
            <w:noProof/>
            <w:sz w:val="20"/>
            <w:szCs w:val="20"/>
          </w:rPr>
          <w:fldChar w:fldCharType="end"/>
        </w:r>
      </w:p>
    </w:sdtContent>
  </w:sdt>
  <w:p w14:paraId="1EA75C29" w14:textId="2CFAD7C8" w:rsidR="00BE6145" w:rsidRDefault="00BE6145" w:rsidP="00C8003E">
    <w:pPr>
      <w:pStyle w:val="Heading1"/>
      <w:numPr>
        <w:ilvl w:val="0"/>
        <w:numId w:val="0"/>
      </w:numPr>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65B5" w14:textId="77777777" w:rsidR="007B12E8" w:rsidRDefault="007B12E8">
      <w:r>
        <w:separator/>
      </w:r>
    </w:p>
  </w:footnote>
  <w:footnote w:type="continuationSeparator" w:id="0">
    <w:p w14:paraId="17C6AF21" w14:textId="77777777" w:rsidR="007B12E8" w:rsidRDefault="007B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7DAB" w14:textId="0137D985" w:rsidR="00730B90" w:rsidRDefault="00730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28F"/>
    <w:multiLevelType w:val="hybridMultilevel"/>
    <w:tmpl w:val="9AEA86D6"/>
    <w:lvl w:ilvl="0" w:tplc="4C782C92">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4E047634">
      <w:numFmt w:val="bullet"/>
      <w:lvlText w:val="•"/>
      <w:lvlJc w:val="left"/>
      <w:pPr>
        <w:ind w:left="1848" w:hanging="361"/>
      </w:pPr>
      <w:rPr>
        <w:rFonts w:hint="default"/>
        <w:lang w:val="en-AU" w:eastAsia="en-AU" w:bidi="en-AU"/>
      </w:rPr>
    </w:lvl>
    <w:lvl w:ilvl="2" w:tplc="0AF22966">
      <w:numFmt w:val="bullet"/>
      <w:lvlText w:val="•"/>
      <w:lvlJc w:val="left"/>
      <w:pPr>
        <w:ind w:left="2837" w:hanging="361"/>
      </w:pPr>
      <w:rPr>
        <w:rFonts w:hint="default"/>
        <w:lang w:val="en-AU" w:eastAsia="en-AU" w:bidi="en-AU"/>
      </w:rPr>
    </w:lvl>
    <w:lvl w:ilvl="3" w:tplc="8986543A">
      <w:numFmt w:val="bullet"/>
      <w:lvlText w:val="•"/>
      <w:lvlJc w:val="left"/>
      <w:pPr>
        <w:ind w:left="3825" w:hanging="361"/>
      </w:pPr>
      <w:rPr>
        <w:rFonts w:hint="default"/>
        <w:lang w:val="en-AU" w:eastAsia="en-AU" w:bidi="en-AU"/>
      </w:rPr>
    </w:lvl>
    <w:lvl w:ilvl="4" w:tplc="B8D8B330">
      <w:numFmt w:val="bullet"/>
      <w:lvlText w:val="•"/>
      <w:lvlJc w:val="left"/>
      <w:pPr>
        <w:ind w:left="4814" w:hanging="361"/>
      </w:pPr>
      <w:rPr>
        <w:rFonts w:hint="default"/>
        <w:lang w:val="en-AU" w:eastAsia="en-AU" w:bidi="en-AU"/>
      </w:rPr>
    </w:lvl>
    <w:lvl w:ilvl="5" w:tplc="D28E2E94">
      <w:numFmt w:val="bullet"/>
      <w:lvlText w:val="•"/>
      <w:lvlJc w:val="left"/>
      <w:pPr>
        <w:ind w:left="5803" w:hanging="361"/>
      </w:pPr>
      <w:rPr>
        <w:rFonts w:hint="default"/>
        <w:lang w:val="en-AU" w:eastAsia="en-AU" w:bidi="en-AU"/>
      </w:rPr>
    </w:lvl>
    <w:lvl w:ilvl="6" w:tplc="6524773A">
      <w:numFmt w:val="bullet"/>
      <w:lvlText w:val="•"/>
      <w:lvlJc w:val="left"/>
      <w:pPr>
        <w:ind w:left="6791" w:hanging="361"/>
      </w:pPr>
      <w:rPr>
        <w:rFonts w:hint="default"/>
        <w:lang w:val="en-AU" w:eastAsia="en-AU" w:bidi="en-AU"/>
      </w:rPr>
    </w:lvl>
    <w:lvl w:ilvl="7" w:tplc="8640BEA6">
      <w:numFmt w:val="bullet"/>
      <w:lvlText w:val="•"/>
      <w:lvlJc w:val="left"/>
      <w:pPr>
        <w:ind w:left="7780" w:hanging="361"/>
      </w:pPr>
      <w:rPr>
        <w:rFonts w:hint="default"/>
        <w:lang w:val="en-AU" w:eastAsia="en-AU" w:bidi="en-AU"/>
      </w:rPr>
    </w:lvl>
    <w:lvl w:ilvl="8" w:tplc="8D7AF848">
      <w:numFmt w:val="bullet"/>
      <w:lvlText w:val="•"/>
      <w:lvlJc w:val="left"/>
      <w:pPr>
        <w:ind w:left="8769" w:hanging="361"/>
      </w:pPr>
      <w:rPr>
        <w:rFonts w:hint="default"/>
        <w:lang w:val="en-AU" w:eastAsia="en-AU" w:bidi="en-AU"/>
      </w:rPr>
    </w:lvl>
  </w:abstractNum>
  <w:abstractNum w:abstractNumId="1" w15:restartNumberingAfterBreak="0">
    <w:nsid w:val="03C12715"/>
    <w:multiLevelType w:val="hybridMultilevel"/>
    <w:tmpl w:val="3076AE0A"/>
    <w:lvl w:ilvl="0" w:tplc="4C34F2EA">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A17A4EEE">
      <w:numFmt w:val="bullet"/>
      <w:lvlText w:val="•"/>
      <w:lvlJc w:val="left"/>
      <w:pPr>
        <w:ind w:left="1848" w:hanging="361"/>
      </w:pPr>
      <w:rPr>
        <w:rFonts w:hint="default"/>
        <w:lang w:val="en-AU" w:eastAsia="en-AU" w:bidi="en-AU"/>
      </w:rPr>
    </w:lvl>
    <w:lvl w:ilvl="2" w:tplc="793EBE6A">
      <w:numFmt w:val="bullet"/>
      <w:lvlText w:val="•"/>
      <w:lvlJc w:val="left"/>
      <w:pPr>
        <w:ind w:left="2837" w:hanging="361"/>
      </w:pPr>
      <w:rPr>
        <w:rFonts w:hint="default"/>
        <w:lang w:val="en-AU" w:eastAsia="en-AU" w:bidi="en-AU"/>
      </w:rPr>
    </w:lvl>
    <w:lvl w:ilvl="3" w:tplc="7CFEA9EC">
      <w:numFmt w:val="bullet"/>
      <w:lvlText w:val="•"/>
      <w:lvlJc w:val="left"/>
      <w:pPr>
        <w:ind w:left="3825" w:hanging="361"/>
      </w:pPr>
      <w:rPr>
        <w:rFonts w:hint="default"/>
        <w:lang w:val="en-AU" w:eastAsia="en-AU" w:bidi="en-AU"/>
      </w:rPr>
    </w:lvl>
    <w:lvl w:ilvl="4" w:tplc="5A3039B6">
      <w:numFmt w:val="bullet"/>
      <w:lvlText w:val="•"/>
      <w:lvlJc w:val="left"/>
      <w:pPr>
        <w:ind w:left="4814" w:hanging="361"/>
      </w:pPr>
      <w:rPr>
        <w:rFonts w:hint="default"/>
        <w:lang w:val="en-AU" w:eastAsia="en-AU" w:bidi="en-AU"/>
      </w:rPr>
    </w:lvl>
    <w:lvl w:ilvl="5" w:tplc="4EDEFAB8">
      <w:numFmt w:val="bullet"/>
      <w:lvlText w:val="•"/>
      <w:lvlJc w:val="left"/>
      <w:pPr>
        <w:ind w:left="5803" w:hanging="361"/>
      </w:pPr>
      <w:rPr>
        <w:rFonts w:hint="default"/>
        <w:lang w:val="en-AU" w:eastAsia="en-AU" w:bidi="en-AU"/>
      </w:rPr>
    </w:lvl>
    <w:lvl w:ilvl="6" w:tplc="05B2C064">
      <w:numFmt w:val="bullet"/>
      <w:lvlText w:val="•"/>
      <w:lvlJc w:val="left"/>
      <w:pPr>
        <w:ind w:left="6791" w:hanging="361"/>
      </w:pPr>
      <w:rPr>
        <w:rFonts w:hint="default"/>
        <w:lang w:val="en-AU" w:eastAsia="en-AU" w:bidi="en-AU"/>
      </w:rPr>
    </w:lvl>
    <w:lvl w:ilvl="7" w:tplc="3BA69924">
      <w:numFmt w:val="bullet"/>
      <w:lvlText w:val="•"/>
      <w:lvlJc w:val="left"/>
      <w:pPr>
        <w:ind w:left="7780" w:hanging="361"/>
      </w:pPr>
      <w:rPr>
        <w:rFonts w:hint="default"/>
        <w:lang w:val="en-AU" w:eastAsia="en-AU" w:bidi="en-AU"/>
      </w:rPr>
    </w:lvl>
    <w:lvl w:ilvl="8" w:tplc="982C689C">
      <w:numFmt w:val="bullet"/>
      <w:lvlText w:val="•"/>
      <w:lvlJc w:val="left"/>
      <w:pPr>
        <w:ind w:left="8769" w:hanging="361"/>
      </w:pPr>
      <w:rPr>
        <w:rFonts w:hint="default"/>
        <w:lang w:val="en-AU" w:eastAsia="en-AU" w:bidi="en-AU"/>
      </w:rPr>
    </w:lvl>
  </w:abstractNum>
  <w:abstractNum w:abstractNumId="2" w15:restartNumberingAfterBreak="0">
    <w:nsid w:val="0F350F55"/>
    <w:multiLevelType w:val="hybridMultilevel"/>
    <w:tmpl w:val="E8DCDE7E"/>
    <w:lvl w:ilvl="0" w:tplc="471431AA">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A8ECEF8A">
      <w:numFmt w:val="bullet"/>
      <w:lvlText w:val="•"/>
      <w:lvlJc w:val="left"/>
      <w:pPr>
        <w:ind w:left="1848" w:hanging="361"/>
      </w:pPr>
      <w:rPr>
        <w:rFonts w:hint="default"/>
        <w:lang w:val="en-AU" w:eastAsia="en-AU" w:bidi="en-AU"/>
      </w:rPr>
    </w:lvl>
    <w:lvl w:ilvl="2" w:tplc="1676022E">
      <w:numFmt w:val="bullet"/>
      <w:lvlText w:val="•"/>
      <w:lvlJc w:val="left"/>
      <w:pPr>
        <w:ind w:left="2837" w:hanging="361"/>
      </w:pPr>
      <w:rPr>
        <w:rFonts w:hint="default"/>
        <w:lang w:val="en-AU" w:eastAsia="en-AU" w:bidi="en-AU"/>
      </w:rPr>
    </w:lvl>
    <w:lvl w:ilvl="3" w:tplc="050E2DB6">
      <w:numFmt w:val="bullet"/>
      <w:lvlText w:val="•"/>
      <w:lvlJc w:val="left"/>
      <w:pPr>
        <w:ind w:left="3825" w:hanging="361"/>
      </w:pPr>
      <w:rPr>
        <w:rFonts w:hint="default"/>
        <w:lang w:val="en-AU" w:eastAsia="en-AU" w:bidi="en-AU"/>
      </w:rPr>
    </w:lvl>
    <w:lvl w:ilvl="4" w:tplc="1B3AC086">
      <w:numFmt w:val="bullet"/>
      <w:lvlText w:val="•"/>
      <w:lvlJc w:val="left"/>
      <w:pPr>
        <w:ind w:left="4814" w:hanging="361"/>
      </w:pPr>
      <w:rPr>
        <w:rFonts w:hint="default"/>
        <w:lang w:val="en-AU" w:eastAsia="en-AU" w:bidi="en-AU"/>
      </w:rPr>
    </w:lvl>
    <w:lvl w:ilvl="5" w:tplc="7114A680">
      <w:numFmt w:val="bullet"/>
      <w:lvlText w:val="•"/>
      <w:lvlJc w:val="left"/>
      <w:pPr>
        <w:ind w:left="5803" w:hanging="361"/>
      </w:pPr>
      <w:rPr>
        <w:rFonts w:hint="default"/>
        <w:lang w:val="en-AU" w:eastAsia="en-AU" w:bidi="en-AU"/>
      </w:rPr>
    </w:lvl>
    <w:lvl w:ilvl="6" w:tplc="FE907F6C">
      <w:numFmt w:val="bullet"/>
      <w:lvlText w:val="•"/>
      <w:lvlJc w:val="left"/>
      <w:pPr>
        <w:ind w:left="6791" w:hanging="361"/>
      </w:pPr>
      <w:rPr>
        <w:rFonts w:hint="default"/>
        <w:lang w:val="en-AU" w:eastAsia="en-AU" w:bidi="en-AU"/>
      </w:rPr>
    </w:lvl>
    <w:lvl w:ilvl="7" w:tplc="D60E85C8">
      <w:numFmt w:val="bullet"/>
      <w:lvlText w:val="•"/>
      <w:lvlJc w:val="left"/>
      <w:pPr>
        <w:ind w:left="7780" w:hanging="361"/>
      </w:pPr>
      <w:rPr>
        <w:rFonts w:hint="default"/>
        <w:lang w:val="en-AU" w:eastAsia="en-AU" w:bidi="en-AU"/>
      </w:rPr>
    </w:lvl>
    <w:lvl w:ilvl="8" w:tplc="DBB41B0A">
      <w:numFmt w:val="bullet"/>
      <w:lvlText w:val="•"/>
      <w:lvlJc w:val="left"/>
      <w:pPr>
        <w:ind w:left="8769" w:hanging="361"/>
      </w:pPr>
      <w:rPr>
        <w:rFonts w:hint="default"/>
        <w:lang w:val="en-AU" w:eastAsia="en-AU" w:bidi="en-AU"/>
      </w:rPr>
    </w:lvl>
  </w:abstractNum>
  <w:abstractNum w:abstractNumId="3" w15:restartNumberingAfterBreak="0">
    <w:nsid w:val="10AE2013"/>
    <w:multiLevelType w:val="hybridMultilevel"/>
    <w:tmpl w:val="EA4278E2"/>
    <w:lvl w:ilvl="0" w:tplc="FE0222E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E315E2"/>
    <w:multiLevelType w:val="hybridMultilevel"/>
    <w:tmpl w:val="E1E21E2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6B9400D"/>
    <w:multiLevelType w:val="hybridMultilevel"/>
    <w:tmpl w:val="1DB8754A"/>
    <w:lvl w:ilvl="0" w:tplc="0BA86F2C">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5A23EC"/>
    <w:multiLevelType w:val="hybridMultilevel"/>
    <w:tmpl w:val="A5E49A92"/>
    <w:lvl w:ilvl="0" w:tplc="461E7472">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A066E332">
      <w:numFmt w:val="bullet"/>
      <w:lvlText w:val="•"/>
      <w:lvlJc w:val="left"/>
      <w:pPr>
        <w:ind w:left="1848" w:hanging="361"/>
      </w:pPr>
      <w:rPr>
        <w:rFonts w:hint="default"/>
        <w:lang w:val="en-AU" w:eastAsia="en-AU" w:bidi="en-AU"/>
      </w:rPr>
    </w:lvl>
    <w:lvl w:ilvl="2" w:tplc="A09AAF7A">
      <w:numFmt w:val="bullet"/>
      <w:lvlText w:val="•"/>
      <w:lvlJc w:val="left"/>
      <w:pPr>
        <w:ind w:left="2837" w:hanging="361"/>
      </w:pPr>
      <w:rPr>
        <w:rFonts w:hint="default"/>
        <w:lang w:val="en-AU" w:eastAsia="en-AU" w:bidi="en-AU"/>
      </w:rPr>
    </w:lvl>
    <w:lvl w:ilvl="3" w:tplc="6416292A">
      <w:numFmt w:val="bullet"/>
      <w:lvlText w:val="•"/>
      <w:lvlJc w:val="left"/>
      <w:pPr>
        <w:ind w:left="3825" w:hanging="361"/>
      </w:pPr>
      <w:rPr>
        <w:rFonts w:hint="default"/>
        <w:lang w:val="en-AU" w:eastAsia="en-AU" w:bidi="en-AU"/>
      </w:rPr>
    </w:lvl>
    <w:lvl w:ilvl="4" w:tplc="A8881B7C">
      <w:numFmt w:val="bullet"/>
      <w:lvlText w:val="•"/>
      <w:lvlJc w:val="left"/>
      <w:pPr>
        <w:ind w:left="4814" w:hanging="361"/>
      </w:pPr>
      <w:rPr>
        <w:rFonts w:hint="default"/>
        <w:lang w:val="en-AU" w:eastAsia="en-AU" w:bidi="en-AU"/>
      </w:rPr>
    </w:lvl>
    <w:lvl w:ilvl="5" w:tplc="AEC084AE">
      <w:numFmt w:val="bullet"/>
      <w:lvlText w:val="•"/>
      <w:lvlJc w:val="left"/>
      <w:pPr>
        <w:ind w:left="5803" w:hanging="361"/>
      </w:pPr>
      <w:rPr>
        <w:rFonts w:hint="default"/>
        <w:lang w:val="en-AU" w:eastAsia="en-AU" w:bidi="en-AU"/>
      </w:rPr>
    </w:lvl>
    <w:lvl w:ilvl="6" w:tplc="7116D7A6">
      <w:numFmt w:val="bullet"/>
      <w:lvlText w:val="•"/>
      <w:lvlJc w:val="left"/>
      <w:pPr>
        <w:ind w:left="6791" w:hanging="361"/>
      </w:pPr>
      <w:rPr>
        <w:rFonts w:hint="default"/>
        <w:lang w:val="en-AU" w:eastAsia="en-AU" w:bidi="en-AU"/>
      </w:rPr>
    </w:lvl>
    <w:lvl w:ilvl="7" w:tplc="791CA4B8">
      <w:numFmt w:val="bullet"/>
      <w:lvlText w:val="•"/>
      <w:lvlJc w:val="left"/>
      <w:pPr>
        <w:ind w:left="7780" w:hanging="361"/>
      </w:pPr>
      <w:rPr>
        <w:rFonts w:hint="default"/>
        <w:lang w:val="en-AU" w:eastAsia="en-AU" w:bidi="en-AU"/>
      </w:rPr>
    </w:lvl>
    <w:lvl w:ilvl="8" w:tplc="924E4B5E">
      <w:numFmt w:val="bullet"/>
      <w:lvlText w:val="•"/>
      <w:lvlJc w:val="left"/>
      <w:pPr>
        <w:ind w:left="8769" w:hanging="361"/>
      </w:pPr>
      <w:rPr>
        <w:rFonts w:hint="default"/>
        <w:lang w:val="en-AU" w:eastAsia="en-AU" w:bidi="en-AU"/>
      </w:rPr>
    </w:lvl>
  </w:abstractNum>
  <w:abstractNum w:abstractNumId="7" w15:restartNumberingAfterBreak="0">
    <w:nsid w:val="468A5A47"/>
    <w:multiLevelType w:val="hybridMultilevel"/>
    <w:tmpl w:val="1AE89B14"/>
    <w:lvl w:ilvl="0" w:tplc="DA7C856E">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6E84454A">
      <w:numFmt w:val="bullet"/>
      <w:lvlText w:val="•"/>
      <w:lvlJc w:val="left"/>
      <w:pPr>
        <w:ind w:left="1848" w:hanging="361"/>
      </w:pPr>
      <w:rPr>
        <w:rFonts w:hint="default"/>
        <w:lang w:val="en-AU" w:eastAsia="en-AU" w:bidi="en-AU"/>
      </w:rPr>
    </w:lvl>
    <w:lvl w:ilvl="2" w:tplc="80301332">
      <w:numFmt w:val="bullet"/>
      <w:lvlText w:val="•"/>
      <w:lvlJc w:val="left"/>
      <w:pPr>
        <w:ind w:left="2837" w:hanging="361"/>
      </w:pPr>
      <w:rPr>
        <w:rFonts w:hint="default"/>
        <w:lang w:val="en-AU" w:eastAsia="en-AU" w:bidi="en-AU"/>
      </w:rPr>
    </w:lvl>
    <w:lvl w:ilvl="3" w:tplc="E5EC33CE">
      <w:numFmt w:val="bullet"/>
      <w:lvlText w:val="•"/>
      <w:lvlJc w:val="left"/>
      <w:pPr>
        <w:ind w:left="3825" w:hanging="361"/>
      </w:pPr>
      <w:rPr>
        <w:rFonts w:hint="default"/>
        <w:lang w:val="en-AU" w:eastAsia="en-AU" w:bidi="en-AU"/>
      </w:rPr>
    </w:lvl>
    <w:lvl w:ilvl="4" w:tplc="E90E3E4E">
      <w:numFmt w:val="bullet"/>
      <w:lvlText w:val="•"/>
      <w:lvlJc w:val="left"/>
      <w:pPr>
        <w:ind w:left="4814" w:hanging="361"/>
      </w:pPr>
      <w:rPr>
        <w:rFonts w:hint="default"/>
        <w:lang w:val="en-AU" w:eastAsia="en-AU" w:bidi="en-AU"/>
      </w:rPr>
    </w:lvl>
    <w:lvl w:ilvl="5" w:tplc="9DF8E470">
      <w:numFmt w:val="bullet"/>
      <w:lvlText w:val="•"/>
      <w:lvlJc w:val="left"/>
      <w:pPr>
        <w:ind w:left="5803" w:hanging="361"/>
      </w:pPr>
      <w:rPr>
        <w:rFonts w:hint="default"/>
        <w:lang w:val="en-AU" w:eastAsia="en-AU" w:bidi="en-AU"/>
      </w:rPr>
    </w:lvl>
    <w:lvl w:ilvl="6" w:tplc="482C1E10">
      <w:numFmt w:val="bullet"/>
      <w:lvlText w:val="•"/>
      <w:lvlJc w:val="left"/>
      <w:pPr>
        <w:ind w:left="6791" w:hanging="361"/>
      </w:pPr>
      <w:rPr>
        <w:rFonts w:hint="default"/>
        <w:lang w:val="en-AU" w:eastAsia="en-AU" w:bidi="en-AU"/>
      </w:rPr>
    </w:lvl>
    <w:lvl w:ilvl="7" w:tplc="C5BE869E">
      <w:numFmt w:val="bullet"/>
      <w:lvlText w:val="•"/>
      <w:lvlJc w:val="left"/>
      <w:pPr>
        <w:ind w:left="7780" w:hanging="361"/>
      </w:pPr>
      <w:rPr>
        <w:rFonts w:hint="default"/>
        <w:lang w:val="en-AU" w:eastAsia="en-AU" w:bidi="en-AU"/>
      </w:rPr>
    </w:lvl>
    <w:lvl w:ilvl="8" w:tplc="F60CBC26">
      <w:numFmt w:val="bullet"/>
      <w:lvlText w:val="•"/>
      <w:lvlJc w:val="left"/>
      <w:pPr>
        <w:ind w:left="8769" w:hanging="361"/>
      </w:pPr>
      <w:rPr>
        <w:rFonts w:hint="default"/>
        <w:lang w:val="en-AU" w:eastAsia="en-AU" w:bidi="en-AU"/>
      </w:rPr>
    </w:lvl>
  </w:abstractNum>
  <w:abstractNum w:abstractNumId="8" w15:restartNumberingAfterBreak="0">
    <w:nsid w:val="4931334D"/>
    <w:multiLevelType w:val="hybridMultilevel"/>
    <w:tmpl w:val="9296F3FC"/>
    <w:lvl w:ilvl="0" w:tplc="D562A516">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D24C549E">
      <w:numFmt w:val="bullet"/>
      <w:lvlText w:val="•"/>
      <w:lvlJc w:val="left"/>
      <w:pPr>
        <w:ind w:left="1848" w:hanging="361"/>
      </w:pPr>
      <w:rPr>
        <w:rFonts w:hint="default"/>
        <w:lang w:val="en-AU" w:eastAsia="en-AU" w:bidi="en-AU"/>
      </w:rPr>
    </w:lvl>
    <w:lvl w:ilvl="2" w:tplc="8B7A5AF4">
      <w:numFmt w:val="bullet"/>
      <w:lvlText w:val="•"/>
      <w:lvlJc w:val="left"/>
      <w:pPr>
        <w:ind w:left="2837" w:hanging="361"/>
      </w:pPr>
      <w:rPr>
        <w:rFonts w:hint="default"/>
        <w:lang w:val="en-AU" w:eastAsia="en-AU" w:bidi="en-AU"/>
      </w:rPr>
    </w:lvl>
    <w:lvl w:ilvl="3" w:tplc="995E5550">
      <w:numFmt w:val="bullet"/>
      <w:lvlText w:val="•"/>
      <w:lvlJc w:val="left"/>
      <w:pPr>
        <w:ind w:left="3825" w:hanging="361"/>
      </w:pPr>
      <w:rPr>
        <w:rFonts w:hint="default"/>
        <w:lang w:val="en-AU" w:eastAsia="en-AU" w:bidi="en-AU"/>
      </w:rPr>
    </w:lvl>
    <w:lvl w:ilvl="4" w:tplc="6A1E9A2E">
      <w:numFmt w:val="bullet"/>
      <w:lvlText w:val="•"/>
      <w:lvlJc w:val="left"/>
      <w:pPr>
        <w:ind w:left="4814" w:hanging="361"/>
      </w:pPr>
      <w:rPr>
        <w:rFonts w:hint="default"/>
        <w:lang w:val="en-AU" w:eastAsia="en-AU" w:bidi="en-AU"/>
      </w:rPr>
    </w:lvl>
    <w:lvl w:ilvl="5" w:tplc="3B522CBA">
      <w:numFmt w:val="bullet"/>
      <w:lvlText w:val="•"/>
      <w:lvlJc w:val="left"/>
      <w:pPr>
        <w:ind w:left="5803" w:hanging="361"/>
      </w:pPr>
      <w:rPr>
        <w:rFonts w:hint="default"/>
        <w:lang w:val="en-AU" w:eastAsia="en-AU" w:bidi="en-AU"/>
      </w:rPr>
    </w:lvl>
    <w:lvl w:ilvl="6" w:tplc="4AF4D490">
      <w:numFmt w:val="bullet"/>
      <w:lvlText w:val="•"/>
      <w:lvlJc w:val="left"/>
      <w:pPr>
        <w:ind w:left="6791" w:hanging="361"/>
      </w:pPr>
      <w:rPr>
        <w:rFonts w:hint="default"/>
        <w:lang w:val="en-AU" w:eastAsia="en-AU" w:bidi="en-AU"/>
      </w:rPr>
    </w:lvl>
    <w:lvl w:ilvl="7" w:tplc="55004EEA">
      <w:numFmt w:val="bullet"/>
      <w:lvlText w:val="•"/>
      <w:lvlJc w:val="left"/>
      <w:pPr>
        <w:ind w:left="7780" w:hanging="361"/>
      </w:pPr>
      <w:rPr>
        <w:rFonts w:hint="default"/>
        <w:lang w:val="en-AU" w:eastAsia="en-AU" w:bidi="en-AU"/>
      </w:rPr>
    </w:lvl>
    <w:lvl w:ilvl="8" w:tplc="C44E7812">
      <w:numFmt w:val="bullet"/>
      <w:lvlText w:val="•"/>
      <w:lvlJc w:val="left"/>
      <w:pPr>
        <w:ind w:left="8769" w:hanging="361"/>
      </w:pPr>
      <w:rPr>
        <w:rFonts w:hint="default"/>
        <w:lang w:val="en-AU" w:eastAsia="en-AU" w:bidi="en-AU"/>
      </w:rPr>
    </w:lvl>
  </w:abstractNum>
  <w:abstractNum w:abstractNumId="9" w15:restartNumberingAfterBreak="0">
    <w:nsid w:val="4D910BDE"/>
    <w:multiLevelType w:val="hybridMultilevel"/>
    <w:tmpl w:val="050294E6"/>
    <w:lvl w:ilvl="0" w:tplc="B8B0C080">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78DACCAE">
      <w:numFmt w:val="bullet"/>
      <w:lvlText w:val="•"/>
      <w:lvlJc w:val="left"/>
      <w:pPr>
        <w:ind w:left="1848" w:hanging="361"/>
      </w:pPr>
      <w:rPr>
        <w:rFonts w:hint="default"/>
        <w:lang w:val="en-AU" w:eastAsia="en-AU" w:bidi="en-AU"/>
      </w:rPr>
    </w:lvl>
    <w:lvl w:ilvl="2" w:tplc="D6BC947E">
      <w:numFmt w:val="bullet"/>
      <w:lvlText w:val="•"/>
      <w:lvlJc w:val="left"/>
      <w:pPr>
        <w:ind w:left="2837" w:hanging="361"/>
      </w:pPr>
      <w:rPr>
        <w:rFonts w:hint="default"/>
        <w:lang w:val="en-AU" w:eastAsia="en-AU" w:bidi="en-AU"/>
      </w:rPr>
    </w:lvl>
    <w:lvl w:ilvl="3" w:tplc="0BEA9236">
      <w:numFmt w:val="bullet"/>
      <w:lvlText w:val="•"/>
      <w:lvlJc w:val="left"/>
      <w:pPr>
        <w:ind w:left="3825" w:hanging="361"/>
      </w:pPr>
      <w:rPr>
        <w:rFonts w:hint="default"/>
        <w:lang w:val="en-AU" w:eastAsia="en-AU" w:bidi="en-AU"/>
      </w:rPr>
    </w:lvl>
    <w:lvl w:ilvl="4" w:tplc="A4DE4E92">
      <w:numFmt w:val="bullet"/>
      <w:lvlText w:val="•"/>
      <w:lvlJc w:val="left"/>
      <w:pPr>
        <w:ind w:left="4814" w:hanging="361"/>
      </w:pPr>
      <w:rPr>
        <w:rFonts w:hint="default"/>
        <w:lang w:val="en-AU" w:eastAsia="en-AU" w:bidi="en-AU"/>
      </w:rPr>
    </w:lvl>
    <w:lvl w:ilvl="5" w:tplc="B7D021E2">
      <w:numFmt w:val="bullet"/>
      <w:lvlText w:val="•"/>
      <w:lvlJc w:val="left"/>
      <w:pPr>
        <w:ind w:left="5803" w:hanging="361"/>
      </w:pPr>
      <w:rPr>
        <w:rFonts w:hint="default"/>
        <w:lang w:val="en-AU" w:eastAsia="en-AU" w:bidi="en-AU"/>
      </w:rPr>
    </w:lvl>
    <w:lvl w:ilvl="6" w:tplc="4A2A811E">
      <w:numFmt w:val="bullet"/>
      <w:lvlText w:val="•"/>
      <w:lvlJc w:val="left"/>
      <w:pPr>
        <w:ind w:left="6791" w:hanging="361"/>
      </w:pPr>
      <w:rPr>
        <w:rFonts w:hint="default"/>
        <w:lang w:val="en-AU" w:eastAsia="en-AU" w:bidi="en-AU"/>
      </w:rPr>
    </w:lvl>
    <w:lvl w:ilvl="7" w:tplc="EEF00966">
      <w:numFmt w:val="bullet"/>
      <w:lvlText w:val="•"/>
      <w:lvlJc w:val="left"/>
      <w:pPr>
        <w:ind w:left="7780" w:hanging="361"/>
      </w:pPr>
      <w:rPr>
        <w:rFonts w:hint="default"/>
        <w:lang w:val="en-AU" w:eastAsia="en-AU" w:bidi="en-AU"/>
      </w:rPr>
    </w:lvl>
    <w:lvl w:ilvl="8" w:tplc="CDC81BCA">
      <w:numFmt w:val="bullet"/>
      <w:lvlText w:val="•"/>
      <w:lvlJc w:val="left"/>
      <w:pPr>
        <w:ind w:left="8769" w:hanging="361"/>
      </w:pPr>
      <w:rPr>
        <w:rFonts w:hint="default"/>
        <w:lang w:val="en-AU" w:eastAsia="en-AU" w:bidi="en-AU"/>
      </w:rPr>
    </w:lvl>
  </w:abstractNum>
  <w:abstractNum w:abstractNumId="10" w15:restartNumberingAfterBreak="0">
    <w:nsid w:val="53FF199B"/>
    <w:multiLevelType w:val="hybridMultilevel"/>
    <w:tmpl w:val="15CE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E4F12"/>
    <w:multiLevelType w:val="hybridMultilevel"/>
    <w:tmpl w:val="3E6ABBCC"/>
    <w:lvl w:ilvl="0" w:tplc="1590B220">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22C411EE">
      <w:numFmt w:val="bullet"/>
      <w:lvlText w:val="•"/>
      <w:lvlJc w:val="left"/>
      <w:pPr>
        <w:ind w:left="1848" w:hanging="361"/>
      </w:pPr>
      <w:rPr>
        <w:rFonts w:hint="default"/>
        <w:lang w:val="en-AU" w:eastAsia="en-AU" w:bidi="en-AU"/>
      </w:rPr>
    </w:lvl>
    <w:lvl w:ilvl="2" w:tplc="57D85C1C">
      <w:numFmt w:val="bullet"/>
      <w:lvlText w:val="•"/>
      <w:lvlJc w:val="left"/>
      <w:pPr>
        <w:ind w:left="2837" w:hanging="361"/>
      </w:pPr>
      <w:rPr>
        <w:rFonts w:hint="default"/>
        <w:lang w:val="en-AU" w:eastAsia="en-AU" w:bidi="en-AU"/>
      </w:rPr>
    </w:lvl>
    <w:lvl w:ilvl="3" w:tplc="0BB20594">
      <w:numFmt w:val="bullet"/>
      <w:lvlText w:val="•"/>
      <w:lvlJc w:val="left"/>
      <w:pPr>
        <w:ind w:left="3825" w:hanging="361"/>
      </w:pPr>
      <w:rPr>
        <w:rFonts w:hint="default"/>
        <w:lang w:val="en-AU" w:eastAsia="en-AU" w:bidi="en-AU"/>
      </w:rPr>
    </w:lvl>
    <w:lvl w:ilvl="4" w:tplc="45DA4068">
      <w:numFmt w:val="bullet"/>
      <w:lvlText w:val="•"/>
      <w:lvlJc w:val="left"/>
      <w:pPr>
        <w:ind w:left="4814" w:hanging="361"/>
      </w:pPr>
      <w:rPr>
        <w:rFonts w:hint="default"/>
        <w:lang w:val="en-AU" w:eastAsia="en-AU" w:bidi="en-AU"/>
      </w:rPr>
    </w:lvl>
    <w:lvl w:ilvl="5" w:tplc="5238BA4E">
      <w:numFmt w:val="bullet"/>
      <w:lvlText w:val="•"/>
      <w:lvlJc w:val="left"/>
      <w:pPr>
        <w:ind w:left="5803" w:hanging="361"/>
      </w:pPr>
      <w:rPr>
        <w:rFonts w:hint="default"/>
        <w:lang w:val="en-AU" w:eastAsia="en-AU" w:bidi="en-AU"/>
      </w:rPr>
    </w:lvl>
    <w:lvl w:ilvl="6" w:tplc="DBD28EFC">
      <w:numFmt w:val="bullet"/>
      <w:lvlText w:val="•"/>
      <w:lvlJc w:val="left"/>
      <w:pPr>
        <w:ind w:left="6791" w:hanging="361"/>
      </w:pPr>
      <w:rPr>
        <w:rFonts w:hint="default"/>
        <w:lang w:val="en-AU" w:eastAsia="en-AU" w:bidi="en-AU"/>
      </w:rPr>
    </w:lvl>
    <w:lvl w:ilvl="7" w:tplc="D3FE32DE">
      <w:numFmt w:val="bullet"/>
      <w:lvlText w:val="•"/>
      <w:lvlJc w:val="left"/>
      <w:pPr>
        <w:ind w:left="7780" w:hanging="361"/>
      </w:pPr>
      <w:rPr>
        <w:rFonts w:hint="default"/>
        <w:lang w:val="en-AU" w:eastAsia="en-AU" w:bidi="en-AU"/>
      </w:rPr>
    </w:lvl>
    <w:lvl w:ilvl="8" w:tplc="F4B8F02A">
      <w:numFmt w:val="bullet"/>
      <w:lvlText w:val="•"/>
      <w:lvlJc w:val="left"/>
      <w:pPr>
        <w:ind w:left="8769" w:hanging="361"/>
      </w:pPr>
      <w:rPr>
        <w:rFonts w:hint="default"/>
        <w:lang w:val="en-AU" w:eastAsia="en-AU" w:bidi="en-AU"/>
      </w:rPr>
    </w:lvl>
  </w:abstractNum>
  <w:abstractNum w:abstractNumId="12" w15:restartNumberingAfterBreak="0">
    <w:nsid w:val="57EC51EF"/>
    <w:multiLevelType w:val="hybridMultilevel"/>
    <w:tmpl w:val="04163C6E"/>
    <w:lvl w:ilvl="0" w:tplc="9BF0D6C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7E0C99"/>
    <w:multiLevelType w:val="hybridMultilevel"/>
    <w:tmpl w:val="1D2ECC0E"/>
    <w:lvl w:ilvl="0" w:tplc="BB1CAABE">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AEBAB0C8">
      <w:numFmt w:val="bullet"/>
      <w:lvlText w:val="•"/>
      <w:lvlJc w:val="left"/>
      <w:pPr>
        <w:ind w:left="1848" w:hanging="361"/>
      </w:pPr>
      <w:rPr>
        <w:rFonts w:hint="default"/>
        <w:lang w:val="en-AU" w:eastAsia="en-AU" w:bidi="en-AU"/>
      </w:rPr>
    </w:lvl>
    <w:lvl w:ilvl="2" w:tplc="9AAA0AE4">
      <w:numFmt w:val="bullet"/>
      <w:lvlText w:val="•"/>
      <w:lvlJc w:val="left"/>
      <w:pPr>
        <w:ind w:left="2837" w:hanging="361"/>
      </w:pPr>
      <w:rPr>
        <w:rFonts w:hint="default"/>
        <w:lang w:val="en-AU" w:eastAsia="en-AU" w:bidi="en-AU"/>
      </w:rPr>
    </w:lvl>
    <w:lvl w:ilvl="3" w:tplc="268E7DF6">
      <w:numFmt w:val="bullet"/>
      <w:lvlText w:val="•"/>
      <w:lvlJc w:val="left"/>
      <w:pPr>
        <w:ind w:left="3825" w:hanging="361"/>
      </w:pPr>
      <w:rPr>
        <w:rFonts w:hint="default"/>
        <w:lang w:val="en-AU" w:eastAsia="en-AU" w:bidi="en-AU"/>
      </w:rPr>
    </w:lvl>
    <w:lvl w:ilvl="4" w:tplc="D8002C98">
      <w:numFmt w:val="bullet"/>
      <w:lvlText w:val="•"/>
      <w:lvlJc w:val="left"/>
      <w:pPr>
        <w:ind w:left="4814" w:hanging="361"/>
      </w:pPr>
      <w:rPr>
        <w:rFonts w:hint="default"/>
        <w:lang w:val="en-AU" w:eastAsia="en-AU" w:bidi="en-AU"/>
      </w:rPr>
    </w:lvl>
    <w:lvl w:ilvl="5" w:tplc="46826548">
      <w:numFmt w:val="bullet"/>
      <w:lvlText w:val="•"/>
      <w:lvlJc w:val="left"/>
      <w:pPr>
        <w:ind w:left="5803" w:hanging="361"/>
      </w:pPr>
      <w:rPr>
        <w:rFonts w:hint="default"/>
        <w:lang w:val="en-AU" w:eastAsia="en-AU" w:bidi="en-AU"/>
      </w:rPr>
    </w:lvl>
    <w:lvl w:ilvl="6" w:tplc="E760CD7E">
      <w:numFmt w:val="bullet"/>
      <w:lvlText w:val="•"/>
      <w:lvlJc w:val="left"/>
      <w:pPr>
        <w:ind w:left="6791" w:hanging="361"/>
      </w:pPr>
      <w:rPr>
        <w:rFonts w:hint="default"/>
        <w:lang w:val="en-AU" w:eastAsia="en-AU" w:bidi="en-AU"/>
      </w:rPr>
    </w:lvl>
    <w:lvl w:ilvl="7" w:tplc="EFF41EB2">
      <w:numFmt w:val="bullet"/>
      <w:lvlText w:val="•"/>
      <w:lvlJc w:val="left"/>
      <w:pPr>
        <w:ind w:left="7780" w:hanging="361"/>
      </w:pPr>
      <w:rPr>
        <w:rFonts w:hint="default"/>
        <w:lang w:val="en-AU" w:eastAsia="en-AU" w:bidi="en-AU"/>
      </w:rPr>
    </w:lvl>
    <w:lvl w:ilvl="8" w:tplc="DCA0A690">
      <w:numFmt w:val="bullet"/>
      <w:lvlText w:val="•"/>
      <w:lvlJc w:val="left"/>
      <w:pPr>
        <w:ind w:left="8769" w:hanging="361"/>
      </w:pPr>
      <w:rPr>
        <w:rFonts w:hint="default"/>
        <w:lang w:val="en-AU" w:eastAsia="en-AU" w:bidi="en-AU"/>
      </w:rPr>
    </w:lvl>
  </w:abstractNum>
  <w:abstractNum w:abstractNumId="14" w15:restartNumberingAfterBreak="0">
    <w:nsid w:val="5E5659AB"/>
    <w:multiLevelType w:val="hybridMultilevel"/>
    <w:tmpl w:val="6876D298"/>
    <w:lvl w:ilvl="0" w:tplc="A5926FA4">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565EF036">
      <w:numFmt w:val="bullet"/>
      <w:lvlText w:val="•"/>
      <w:lvlJc w:val="left"/>
      <w:pPr>
        <w:ind w:left="1848" w:hanging="361"/>
      </w:pPr>
      <w:rPr>
        <w:rFonts w:hint="default"/>
        <w:lang w:val="en-AU" w:eastAsia="en-AU" w:bidi="en-AU"/>
      </w:rPr>
    </w:lvl>
    <w:lvl w:ilvl="2" w:tplc="D95E87C2">
      <w:numFmt w:val="bullet"/>
      <w:lvlText w:val="•"/>
      <w:lvlJc w:val="left"/>
      <w:pPr>
        <w:ind w:left="2837" w:hanging="361"/>
      </w:pPr>
      <w:rPr>
        <w:rFonts w:hint="default"/>
        <w:lang w:val="en-AU" w:eastAsia="en-AU" w:bidi="en-AU"/>
      </w:rPr>
    </w:lvl>
    <w:lvl w:ilvl="3" w:tplc="A2A6674C">
      <w:numFmt w:val="bullet"/>
      <w:lvlText w:val="•"/>
      <w:lvlJc w:val="left"/>
      <w:pPr>
        <w:ind w:left="3825" w:hanging="361"/>
      </w:pPr>
      <w:rPr>
        <w:rFonts w:hint="default"/>
        <w:lang w:val="en-AU" w:eastAsia="en-AU" w:bidi="en-AU"/>
      </w:rPr>
    </w:lvl>
    <w:lvl w:ilvl="4" w:tplc="5C245998">
      <w:numFmt w:val="bullet"/>
      <w:lvlText w:val="•"/>
      <w:lvlJc w:val="left"/>
      <w:pPr>
        <w:ind w:left="4814" w:hanging="361"/>
      </w:pPr>
      <w:rPr>
        <w:rFonts w:hint="default"/>
        <w:lang w:val="en-AU" w:eastAsia="en-AU" w:bidi="en-AU"/>
      </w:rPr>
    </w:lvl>
    <w:lvl w:ilvl="5" w:tplc="9700578A">
      <w:numFmt w:val="bullet"/>
      <w:lvlText w:val="•"/>
      <w:lvlJc w:val="left"/>
      <w:pPr>
        <w:ind w:left="5803" w:hanging="361"/>
      </w:pPr>
      <w:rPr>
        <w:rFonts w:hint="default"/>
        <w:lang w:val="en-AU" w:eastAsia="en-AU" w:bidi="en-AU"/>
      </w:rPr>
    </w:lvl>
    <w:lvl w:ilvl="6" w:tplc="E33AA456">
      <w:numFmt w:val="bullet"/>
      <w:lvlText w:val="•"/>
      <w:lvlJc w:val="left"/>
      <w:pPr>
        <w:ind w:left="6791" w:hanging="361"/>
      </w:pPr>
      <w:rPr>
        <w:rFonts w:hint="default"/>
        <w:lang w:val="en-AU" w:eastAsia="en-AU" w:bidi="en-AU"/>
      </w:rPr>
    </w:lvl>
    <w:lvl w:ilvl="7" w:tplc="0ECE3506">
      <w:numFmt w:val="bullet"/>
      <w:lvlText w:val="•"/>
      <w:lvlJc w:val="left"/>
      <w:pPr>
        <w:ind w:left="7780" w:hanging="361"/>
      </w:pPr>
      <w:rPr>
        <w:rFonts w:hint="default"/>
        <w:lang w:val="en-AU" w:eastAsia="en-AU" w:bidi="en-AU"/>
      </w:rPr>
    </w:lvl>
    <w:lvl w:ilvl="8" w:tplc="8AE03286">
      <w:numFmt w:val="bullet"/>
      <w:lvlText w:val="•"/>
      <w:lvlJc w:val="left"/>
      <w:pPr>
        <w:ind w:left="8769" w:hanging="361"/>
      </w:pPr>
      <w:rPr>
        <w:rFonts w:hint="default"/>
        <w:lang w:val="en-AU" w:eastAsia="en-AU" w:bidi="en-AU"/>
      </w:rPr>
    </w:lvl>
  </w:abstractNum>
  <w:abstractNum w:abstractNumId="15" w15:restartNumberingAfterBreak="0">
    <w:nsid w:val="5F8115AA"/>
    <w:multiLevelType w:val="hybridMultilevel"/>
    <w:tmpl w:val="A9467A12"/>
    <w:lvl w:ilvl="0" w:tplc="867A8136">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91D0607A">
      <w:numFmt w:val="bullet"/>
      <w:lvlText w:val="•"/>
      <w:lvlJc w:val="left"/>
      <w:pPr>
        <w:ind w:left="1848" w:hanging="361"/>
      </w:pPr>
      <w:rPr>
        <w:rFonts w:hint="default"/>
        <w:lang w:val="en-AU" w:eastAsia="en-AU" w:bidi="en-AU"/>
      </w:rPr>
    </w:lvl>
    <w:lvl w:ilvl="2" w:tplc="B7A81654">
      <w:numFmt w:val="bullet"/>
      <w:lvlText w:val="•"/>
      <w:lvlJc w:val="left"/>
      <w:pPr>
        <w:ind w:left="2837" w:hanging="361"/>
      </w:pPr>
      <w:rPr>
        <w:rFonts w:hint="default"/>
        <w:lang w:val="en-AU" w:eastAsia="en-AU" w:bidi="en-AU"/>
      </w:rPr>
    </w:lvl>
    <w:lvl w:ilvl="3" w:tplc="E9B2EDBE">
      <w:numFmt w:val="bullet"/>
      <w:lvlText w:val="•"/>
      <w:lvlJc w:val="left"/>
      <w:pPr>
        <w:ind w:left="3825" w:hanging="361"/>
      </w:pPr>
      <w:rPr>
        <w:rFonts w:hint="default"/>
        <w:lang w:val="en-AU" w:eastAsia="en-AU" w:bidi="en-AU"/>
      </w:rPr>
    </w:lvl>
    <w:lvl w:ilvl="4" w:tplc="362A69D6">
      <w:numFmt w:val="bullet"/>
      <w:lvlText w:val="•"/>
      <w:lvlJc w:val="left"/>
      <w:pPr>
        <w:ind w:left="4814" w:hanging="361"/>
      </w:pPr>
      <w:rPr>
        <w:rFonts w:hint="default"/>
        <w:lang w:val="en-AU" w:eastAsia="en-AU" w:bidi="en-AU"/>
      </w:rPr>
    </w:lvl>
    <w:lvl w:ilvl="5" w:tplc="BCE89E7A">
      <w:numFmt w:val="bullet"/>
      <w:lvlText w:val="•"/>
      <w:lvlJc w:val="left"/>
      <w:pPr>
        <w:ind w:left="5803" w:hanging="361"/>
      </w:pPr>
      <w:rPr>
        <w:rFonts w:hint="default"/>
        <w:lang w:val="en-AU" w:eastAsia="en-AU" w:bidi="en-AU"/>
      </w:rPr>
    </w:lvl>
    <w:lvl w:ilvl="6" w:tplc="57F6E370">
      <w:numFmt w:val="bullet"/>
      <w:lvlText w:val="•"/>
      <w:lvlJc w:val="left"/>
      <w:pPr>
        <w:ind w:left="6791" w:hanging="361"/>
      </w:pPr>
      <w:rPr>
        <w:rFonts w:hint="default"/>
        <w:lang w:val="en-AU" w:eastAsia="en-AU" w:bidi="en-AU"/>
      </w:rPr>
    </w:lvl>
    <w:lvl w:ilvl="7" w:tplc="D9A29494">
      <w:numFmt w:val="bullet"/>
      <w:lvlText w:val="•"/>
      <w:lvlJc w:val="left"/>
      <w:pPr>
        <w:ind w:left="7780" w:hanging="361"/>
      </w:pPr>
      <w:rPr>
        <w:rFonts w:hint="default"/>
        <w:lang w:val="en-AU" w:eastAsia="en-AU" w:bidi="en-AU"/>
      </w:rPr>
    </w:lvl>
    <w:lvl w:ilvl="8" w:tplc="89364374">
      <w:numFmt w:val="bullet"/>
      <w:lvlText w:val="•"/>
      <w:lvlJc w:val="left"/>
      <w:pPr>
        <w:ind w:left="8769" w:hanging="361"/>
      </w:pPr>
      <w:rPr>
        <w:rFonts w:hint="default"/>
        <w:lang w:val="en-AU" w:eastAsia="en-AU" w:bidi="en-AU"/>
      </w:rPr>
    </w:lvl>
  </w:abstractNum>
  <w:abstractNum w:abstractNumId="16" w15:restartNumberingAfterBreak="0">
    <w:nsid w:val="72544FB0"/>
    <w:multiLevelType w:val="hybridMultilevel"/>
    <w:tmpl w:val="CFDA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67DC"/>
    <w:multiLevelType w:val="hybridMultilevel"/>
    <w:tmpl w:val="5AE6B8A0"/>
    <w:lvl w:ilvl="0" w:tplc="4A88CEC8">
      <w:start w:val="1"/>
      <w:numFmt w:val="decimal"/>
      <w:lvlText w:val="%1."/>
      <w:lvlJc w:val="left"/>
      <w:pPr>
        <w:ind w:left="860" w:hanging="361"/>
      </w:pPr>
      <w:rPr>
        <w:rFonts w:ascii="Arial" w:eastAsia="Arial" w:hAnsi="Arial" w:cs="Arial" w:hint="default"/>
        <w:spacing w:val="-1"/>
        <w:w w:val="100"/>
        <w:sz w:val="22"/>
        <w:szCs w:val="22"/>
        <w:lang w:val="en-AU" w:eastAsia="en-AU" w:bidi="en-AU"/>
      </w:rPr>
    </w:lvl>
    <w:lvl w:ilvl="1" w:tplc="4B82491E">
      <w:numFmt w:val="bullet"/>
      <w:lvlText w:val="•"/>
      <w:lvlJc w:val="left"/>
      <w:pPr>
        <w:ind w:left="1848" w:hanging="361"/>
      </w:pPr>
      <w:rPr>
        <w:rFonts w:hint="default"/>
        <w:lang w:val="en-AU" w:eastAsia="en-AU" w:bidi="en-AU"/>
      </w:rPr>
    </w:lvl>
    <w:lvl w:ilvl="2" w:tplc="60808C52">
      <w:numFmt w:val="bullet"/>
      <w:lvlText w:val="•"/>
      <w:lvlJc w:val="left"/>
      <w:pPr>
        <w:ind w:left="2837" w:hanging="361"/>
      </w:pPr>
      <w:rPr>
        <w:rFonts w:hint="default"/>
        <w:lang w:val="en-AU" w:eastAsia="en-AU" w:bidi="en-AU"/>
      </w:rPr>
    </w:lvl>
    <w:lvl w:ilvl="3" w:tplc="D2603DEA">
      <w:numFmt w:val="bullet"/>
      <w:lvlText w:val="•"/>
      <w:lvlJc w:val="left"/>
      <w:pPr>
        <w:ind w:left="3825" w:hanging="361"/>
      </w:pPr>
      <w:rPr>
        <w:rFonts w:hint="default"/>
        <w:lang w:val="en-AU" w:eastAsia="en-AU" w:bidi="en-AU"/>
      </w:rPr>
    </w:lvl>
    <w:lvl w:ilvl="4" w:tplc="C630D92C">
      <w:numFmt w:val="bullet"/>
      <w:lvlText w:val="•"/>
      <w:lvlJc w:val="left"/>
      <w:pPr>
        <w:ind w:left="4814" w:hanging="361"/>
      </w:pPr>
      <w:rPr>
        <w:rFonts w:hint="default"/>
        <w:lang w:val="en-AU" w:eastAsia="en-AU" w:bidi="en-AU"/>
      </w:rPr>
    </w:lvl>
    <w:lvl w:ilvl="5" w:tplc="0D5CCFB2">
      <w:numFmt w:val="bullet"/>
      <w:lvlText w:val="•"/>
      <w:lvlJc w:val="left"/>
      <w:pPr>
        <w:ind w:left="5803" w:hanging="361"/>
      </w:pPr>
      <w:rPr>
        <w:rFonts w:hint="default"/>
        <w:lang w:val="en-AU" w:eastAsia="en-AU" w:bidi="en-AU"/>
      </w:rPr>
    </w:lvl>
    <w:lvl w:ilvl="6" w:tplc="5916142E">
      <w:numFmt w:val="bullet"/>
      <w:lvlText w:val="•"/>
      <w:lvlJc w:val="left"/>
      <w:pPr>
        <w:ind w:left="6791" w:hanging="361"/>
      </w:pPr>
      <w:rPr>
        <w:rFonts w:hint="default"/>
        <w:lang w:val="en-AU" w:eastAsia="en-AU" w:bidi="en-AU"/>
      </w:rPr>
    </w:lvl>
    <w:lvl w:ilvl="7" w:tplc="A89CF6A2">
      <w:numFmt w:val="bullet"/>
      <w:lvlText w:val="•"/>
      <w:lvlJc w:val="left"/>
      <w:pPr>
        <w:ind w:left="7780" w:hanging="361"/>
      </w:pPr>
      <w:rPr>
        <w:rFonts w:hint="default"/>
        <w:lang w:val="en-AU" w:eastAsia="en-AU" w:bidi="en-AU"/>
      </w:rPr>
    </w:lvl>
    <w:lvl w:ilvl="8" w:tplc="3B963DF2">
      <w:numFmt w:val="bullet"/>
      <w:lvlText w:val="•"/>
      <w:lvlJc w:val="left"/>
      <w:pPr>
        <w:ind w:left="8769" w:hanging="361"/>
      </w:pPr>
      <w:rPr>
        <w:rFonts w:hint="default"/>
        <w:lang w:val="en-AU" w:eastAsia="en-AU" w:bidi="en-AU"/>
      </w:rPr>
    </w:lvl>
  </w:abstractNum>
  <w:num w:numId="1">
    <w:abstractNumId w:val="17"/>
  </w:num>
  <w:num w:numId="2">
    <w:abstractNumId w:val="0"/>
  </w:num>
  <w:num w:numId="3">
    <w:abstractNumId w:val="11"/>
  </w:num>
  <w:num w:numId="4">
    <w:abstractNumId w:val="1"/>
  </w:num>
  <w:num w:numId="5">
    <w:abstractNumId w:val="8"/>
  </w:num>
  <w:num w:numId="6">
    <w:abstractNumId w:val="15"/>
  </w:num>
  <w:num w:numId="7">
    <w:abstractNumId w:val="2"/>
  </w:num>
  <w:num w:numId="8">
    <w:abstractNumId w:val="9"/>
  </w:num>
  <w:num w:numId="9">
    <w:abstractNumId w:val="6"/>
  </w:num>
  <w:num w:numId="10">
    <w:abstractNumId w:val="14"/>
  </w:num>
  <w:num w:numId="11">
    <w:abstractNumId w:val="13"/>
  </w:num>
  <w:num w:numId="12">
    <w:abstractNumId w:val="7"/>
  </w:num>
  <w:num w:numId="13">
    <w:abstractNumId w:val="4"/>
  </w:num>
  <w:num w:numId="14">
    <w:abstractNumId w:val="16"/>
  </w:num>
  <w:num w:numId="15">
    <w:abstractNumId w:val="3"/>
  </w:num>
  <w:num w:numId="16">
    <w:abstractNumId w:val="1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45"/>
    <w:rsid w:val="00066302"/>
    <w:rsid w:val="001F6448"/>
    <w:rsid w:val="002522BC"/>
    <w:rsid w:val="003001ED"/>
    <w:rsid w:val="00412FD7"/>
    <w:rsid w:val="00462A8A"/>
    <w:rsid w:val="0055514D"/>
    <w:rsid w:val="00581E3B"/>
    <w:rsid w:val="006C41FB"/>
    <w:rsid w:val="00707892"/>
    <w:rsid w:val="00730B90"/>
    <w:rsid w:val="007B12E8"/>
    <w:rsid w:val="007D60A5"/>
    <w:rsid w:val="007E26C6"/>
    <w:rsid w:val="0083260E"/>
    <w:rsid w:val="008336E7"/>
    <w:rsid w:val="008E03EA"/>
    <w:rsid w:val="008E5962"/>
    <w:rsid w:val="009A6BDB"/>
    <w:rsid w:val="009B319B"/>
    <w:rsid w:val="00A101DE"/>
    <w:rsid w:val="00A67498"/>
    <w:rsid w:val="00AD273F"/>
    <w:rsid w:val="00B41E43"/>
    <w:rsid w:val="00BC2159"/>
    <w:rsid w:val="00BE6145"/>
    <w:rsid w:val="00C15428"/>
    <w:rsid w:val="00C5373F"/>
    <w:rsid w:val="00C8003E"/>
    <w:rsid w:val="00D303AB"/>
    <w:rsid w:val="00D50A78"/>
    <w:rsid w:val="00D5477E"/>
    <w:rsid w:val="00DF08A6"/>
    <w:rsid w:val="00EA5BC0"/>
    <w:rsid w:val="00EF4782"/>
    <w:rsid w:val="00F14E1D"/>
    <w:rsid w:val="00F56562"/>
    <w:rsid w:val="00F914CA"/>
    <w:rsid w:val="00FD4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07FE1"/>
  <w15:docId w15:val="{FDA18BF1-F795-4A16-88CD-F5C7F7A5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Heading2"/>
    <w:uiPriority w:val="9"/>
    <w:qFormat/>
    <w:rsid w:val="008336E7"/>
    <w:pPr>
      <w:numPr>
        <w:numId w:val="15"/>
      </w:numPr>
      <w:outlineLvl w:val="0"/>
    </w:pPr>
    <w:rPr>
      <w:sz w:val="28"/>
      <w:szCs w:val="28"/>
    </w:rPr>
  </w:style>
  <w:style w:type="paragraph" w:styleId="Heading2">
    <w:name w:val="heading 2"/>
    <w:basedOn w:val="Normal"/>
    <w:uiPriority w:val="9"/>
    <w:unhideWhenUsed/>
    <w:qFormat/>
    <w:rsid w:val="008336E7"/>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Heading1"/>
    <w:uiPriority w:val="1"/>
    <w:qFormat/>
    <w:rsid w:val="00C8003E"/>
    <w:rPr>
      <w:b w:val="0"/>
      <w:bCs w:val="0"/>
      <w:sz w:val="22"/>
      <w:szCs w:val="22"/>
    </w:rPr>
  </w:style>
  <w:style w:type="paragraph" w:styleId="ListParagraph">
    <w:name w:val="List Paragraph"/>
    <w:basedOn w:val="Normal"/>
    <w:uiPriority w:val="1"/>
    <w:qFormat/>
    <w:rsid w:val="008336E7"/>
    <w:pPr>
      <w:numPr>
        <w:numId w:val="16"/>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0B90"/>
    <w:pPr>
      <w:tabs>
        <w:tab w:val="center" w:pos="4513"/>
        <w:tab w:val="right" w:pos="9026"/>
      </w:tabs>
    </w:pPr>
  </w:style>
  <w:style w:type="character" w:customStyle="1" w:styleId="HeaderChar">
    <w:name w:val="Header Char"/>
    <w:basedOn w:val="DefaultParagraphFont"/>
    <w:link w:val="Header"/>
    <w:uiPriority w:val="99"/>
    <w:rsid w:val="00730B90"/>
    <w:rPr>
      <w:rFonts w:ascii="Arial" w:eastAsia="Arial" w:hAnsi="Arial" w:cs="Arial"/>
      <w:lang w:val="en-AU" w:eastAsia="en-AU" w:bidi="en-AU"/>
    </w:rPr>
  </w:style>
  <w:style w:type="paragraph" w:styleId="Footer">
    <w:name w:val="footer"/>
    <w:basedOn w:val="Normal"/>
    <w:link w:val="FooterChar"/>
    <w:uiPriority w:val="99"/>
    <w:unhideWhenUsed/>
    <w:rsid w:val="00730B90"/>
    <w:pPr>
      <w:tabs>
        <w:tab w:val="center" w:pos="4513"/>
        <w:tab w:val="right" w:pos="9026"/>
      </w:tabs>
    </w:pPr>
  </w:style>
  <w:style w:type="character" w:customStyle="1" w:styleId="FooterChar">
    <w:name w:val="Footer Char"/>
    <w:basedOn w:val="DefaultParagraphFont"/>
    <w:link w:val="Footer"/>
    <w:uiPriority w:val="99"/>
    <w:rsid w:val="00730B90"/>
    <w:rPr>
      <w:rFonts w:ascii="Arial" w:eastAsia="Arial" w:hAnsi="Arial" w:cs="Arial"/>
      <w:lang w:val="en-AU" w:eastAsia="en-AU" w:bidi="en-AU"/>
    </w:rPr>
  </w:style>
  <w:style w:type="character" w:styleId="Hyperlink">
    <w:name w:val="Hyperlink"/>
    <w:basedOn w:val="DefaultParagraphFont"/>
    <w:uiPriority w:val="99"/>
    <w:unhideWhenUsed/>
    <w:rsid w:val="009B319B"/>
    <w:rPr>
      <w:color w:val="0000FF" w:themeColor="hyperlink"/>
      <w:u w:val="single"/>
    </w:rPr>
  </w:style>
  <w:style w:type="character" w:styleId="UnresolvedMention">
    <w:name w:val="Unresolved Mention"/>
    <w:basedOn w:val="DefaultParagraphFont"/>
    <w:uiPriority w:val="99"/>
    <w:semiHidden/>
    <w:unhideWhenUsed/>
    <w:rsid w:val="009B319B"/>
    <w:rPr>
      <w:color w:val="605E5C"/>
      <w:shd w:val="clear" w:color="auto" w:fill="E1DFDD"/>
    </w:rPr>
  </w:style>
  <w:style w:type="paragraph" w:styleId="Title">
    <w:name w:val="Title"/>
    <w:basedOn w:val="Normal"/>
    <w:next w:val="Normal"/>
    <w:link w:val="TitleChar"/>
    <w:uiPriority w:val="10"/>
    <w:qFormat/>
    <w:rsid w:val="00DF08A6"/>
    <w:pPr>
      <w:contextualSpacing/>
    </w:pPr>
    <w:rPr>
      <w:rFonts w:eastAsiaTheme="majorEastAsia"/>
      <w:spacing w:val="-10"/>
      <w:kern w:val="28"/>
      <w:sz w:val="36"/>
      <w:szCs w:val="36"/>
    </w:rPr>
  </w:style>
  <w:style w:type="character" w:customStyle="1" w:styleId="TitleChar">
    <w:name w:val="Title Char"/>
    <w:basedOn w:val="DefaultParagraphFont"/>
    <w:link w:val="Title"/>
    <w:uiPriority w:val="10"/>
    <w:rsid w:val="00DF08A6"/>
    <w:rPr>
      <w:rFonts w:ascii="Arial" w:eastAsiaTheme="majorEastAsia" w:hAnsi="Arial" w:cs="Arial"/>
      <w:spacing w:val="-10"/>
      <w:kern w:val="28"/>
      <w:sz w:val="36"/>
      <w:szCs w:val="36"/>
      <w:lang w:val="en-AU" w:eastAsia="en-AU" w:bidi="en-AU"/>
    </w:rPr>
  </w:style>
  <w:style w:type="character" w:styleId="Strong">
    <w:name w:val="Strong"/>
    <w:basedOn w:val="DefaultParagraphFont"/>
    <w:uiPriority w:val="22"/>
    <w:qFormat/>
    <w:rsid w:val="00DF08A6"/>
    <w:rPr>
      <w:b/>
      <w:bCs/>
    </w:rPr>
  </w:style>
  <w:style w:type="paragraph" w:styleId="BalloonText">
    <w:name w:val="Balloon Text"/>
    <w:basedOn w:val="Normal"/>
    <w:link w:val="BalloonTextChar"/>
    <w:uiPriority w:val="99"/>
    <w:semiHidden/>
    <w:unhideWhenUsed/>
    <w:rsid w:val="00B41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43"/>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B41E43"/>
    <w:rPr>
      <w:sz w:val="16"/>
      <w:szCs w:val="16"/>
    </w:rPr>
  </w:style>
  <w:style w:type="paragraph" w:styleId="CommentText">
    <w:name w:val="annotation text"/>
    <w:basedOn w:val="Normal"/>
    <w:link w:val="CommentTextChar"/>
    <w:uiPriority w:val="99"/>
    <w:semiHidden/>
    <w:unhideWhenUsed/>
    <w:rsid w:val="00B41E43"/>
    <w:rPr>
      <w:sz w:val="20"/>
      <w:szCs w:val="20"/>
    </w:rPr>
  </w:style>
  <w:style w:type="character" w:customStyle="1" w:styleId="CommentTextChar">
    <w:name w:val="Comment Text Char"/>
    <w:basedOn w:val="DefaultParagraphFont"/>
    <w:link w:val="CommentText"/>
    <w:uiPriority w:val="99"/>
    <w:semiHidden/>
    <w:rsid w:val="00B41E43"/>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41E43"/>
    <w:rPr>
      <w:b/>
      <w:bCs/>
    </w:rPr>
  </w:style>
  <w:style w:type="character" w:customStyle="1" w:styleId="CommentSubjectChar">
    <w:name w:val="Comment Subject Char"/>
    <w:basedOn w:val="CommentTextChar"/>
    <w:link w:val="CommentSubject"/>
    <w:uiPriority w:val="99"/>
    <w:semiHidden/>
    <w:rsid w:val="00B41E43"/>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cinepublichealth.cmail19.com/t/r-l-jkkltkik-ojkkhkjut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Spencer</dc:creator>
  <cp:lastModifiedBy>Rebecca O'Dell</cp:lastModifiedBy>
  <cp:revision>6</cp:revision>
  <cp:lastPrinted>2021-10-06T23:37:00Z</cp:lastPrinted>
  <dcterms:created xsi:type="dcterms:W3CDTF">2021-09-29T04:44:00Z</dcterms:created>
  <dcterms:modified xsi:type="dcterms:W3CDTF">2021-10-07T03:50:00Z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for Office 365</vt:lpwstr>
  </property>
  <property fmtid="{D5CDD505-2E9C-101B-9397-08002B2CF9AE}" pid="4" name="LastSaved">
    <vt:filetime>2020-09-29T00:00:00Z</vt:filetime>
  </property>
</Properties>
</file>